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BA1DF">
      <w:pPr>
        <w:pStyle w:val="21"/>
        <w:jc w:val="center"/>
        <w:rPr>
          <w:b/>
          <w:sz w:val="36"/>
          <w:szCs w:val="36"/>
        </w:rPr>
      </w:pPr>
      <w:r>
        <w:rPr>
          <w:rFonts w:hint="eastAsia"/>
          <w:b/>
          <w:sz w:val="36"/>
          <w:szCs w:val="36"/>
        </w:rPr>
        <w:t>电子交易</w:t>
      </w:r>
      <w:r>
        <w:rPr>
          <w:rFonts w:hint="eastAsia"/>
          <w:b/>
          <w:sz w:val="36"/>
          <w:szCs w:val="36"/>
          <w:lang w:val="en-US" w:eastAsia="zh-CN"/>
        </w:rPr>
        <w:t>及网上交易</w:t>
      </w:r>
      <w:r>
        <w:rPr>
          <w:rFonts w:hint="eastAsia"/>
          <w:b/>
          <w:sz w:val="36"/>
          <w:szCs w:val="36"/>
        </w:rPr>
        <w:t>申请函</w:t>
      </w:r>
    </w:p>
    <w:p w14:paraId="76187C28">
      <w:pPr>
        <w:jc w:val="left"/>
        <w:rPr>
          <w:sz w:val="18"/>
          <w:szCs w:val="18"/>
        </w:rPr>
      </w:pPr>
      <w:r>
        <w:rPr>
          <w:rFonts w:hint="eastAsia"/>
          <w:szCs w:val="21"/>
        </w:rPr>
        <w:t>太平基金管理有限公司：</w:t>
      </w:r>
    </w:p>
    <w:p w14:paraId="217859FB">
      <w:pPr>
        <w:ind w:firstLine="360" w:firstLineChars="200"/>
        <w:jc w:val="left"/>
        <w:rPr>
          <w:sz w:val="18"/>
          <w:szCs w:val="18"/>
        </w:rPr>
      </w:pPr>
      <w:r>
        <w:rPr>
          <w:rFonts w:hint="eastAsia"/>
          <w:sz w:val="18"/>
          <w:szCs w:val="18"/>
        </w:rPr>
        <w:t>本机构/人现向太平基金管理有限公司申请开通电子交易</w:t>
      </w:r>
      <w:r>
        <w:rPr>
          <w:rFonts w:hint="eastAsia"/>
          <w:sz w:val="18"/>
          <w:szCs w:val="18"/>
          <w:lang w:val="en-US" w:eastAsia="zh-CN"/>
        </w:rPr>
        <w:t>及网上交易</w:t>
      </w:r>
      <w:r>
        <w:rPr>
          <w:rFonts w:hint="eastAsia"/>
          <w:sz w:val="18"/>
          <w:szCs w:val="18"/>
        </w:rPr>
        <w:t>业务，并同意按照太平基金管理有限公司规定的电子交易</w:t>
      </w:r>
      <w:r>
        <w:rPr>
          <w:rFonts w:hint="eastAsia"/>
          <w:sz w:val="18"/>
          <w:szCs w:val="18"/>
          <w:lang w:val="en-US" w:eastAsia="zh-CN"/>
        </w:rPr>
        <w:t>及网上交易</w:t>
      </w:r>
      <w:r>
        <w:rPr>
          <w:rFonts w:hint="eastAsia"/>
          <w:sz w:val="18"/>
          <w:szCs w:val="18"/>
        </w:rPr>
        <w:t>业务流程进行账户管理和基金交易申请。</w:t>
      </w:r>
    </w:p>
    <w:p w14:paraId="1D53AC9A">
      <w:pPr>
        <w:ind w:firstLine="360" w:firstLineChars="200"/>
        <w:jc w:val="left"/>
        <w:rPr>
          <w:sz w:val="18"/>
          <w:szCs w:val="18"/>
        </w:rPr>
      </w:pPr>
      <w:r>
        <w:rPr>
          <w:rFonts w:hint="eastAsia"/>
          <w:sz w:val="18"/>
          <w:szCs w:val="18"/>
        </w:rPr>
        <w:t>本机构/人已仔细阅读过本申请表的所有条款，并且完全理解这些条款的法律含义。</w:t>
      </w:r>
    </w:p>
    <w:p w14:paraId="40BFC608">
      <w:pPr>
        <w:ind w:firstLine="360" w:firstLineChars="200"/>
        <w:jc w:val="left"/>
        <w:rPr>
          <w:sz w:val="18"/>
          <w:szCs w:val="18"/>
        </w:rPr>
      </w:pPr>
      <w:r>
        <w:rPr>
          <w:rFonts w:hint="eastAsia"/>
          <w:sz w:val="18"/>
          <w:szCs w:val="18"/>
        </w:rPr>
        <w:t>本机构/人保证在电子交易</w:t>
      </w:r>
      <w:r>
        <w:rPr>
          <w:rFonts w:hint="eastAsia"/>
          <w:sz w:val="18"/>
          <w:szCs w:val="18"/>
          <w:lang w:val="en-US" w:eastAsia="zh-CN"/>
        </w:rPr>
        <w:t>及网上交易</w:t>
      </w:r>
      <w:r>
        <w:rPr>
          <w:rFonts w:hint="eastAsia"/>
          <w:sz w:val="18"/>
          <w:szCs w:val="18"/>
        </w:rPr>
        <w:t>业务中所提供的资料有效、属实，并且本机构/人电子交易</w:t>
      </w:r>
      <w:r>
        <w:rPr>
          <w:sz w:val="18"/>
          <w:szCs w:val="18"/>
        </w:rPr>
        <w:t>中</w:t>
      </w:r>
      <w:r>
        <w:rPr>
          <w:rFonts w:hint="eastAsia"/>
          <w:sz w:val="18"/>
          <w:szCs w:val="18"/>
        </w:rPr>
        <w:t>的所有文件与其原件均具有同等效力。</w:t>
      </w:r>
    </w:p>
    <w:p w14:paraId="5A67D420">
      <w:pPr>
        <w:ind w:firstLine="360" w:firstLineChars="200"/>
        <w:jc w:val="left"/>
        <w:rPr>
          <w:sz w:val="18"/>
          <w:szCs w:val="18"/>
        </w:rPr>
      </w:pPr>
      <w:r>
        <w:rPr>
          <w:rFonts w:hint="eastAsia"/>
          <w:sz w:val="18"/>
          <w:szCs w:val="18"/>
        </w:rPr>
        <w:t>本机构/人在此确认，凡与本机构/人预留印鉴表面相符的一切电子交易申请，均视为本机构/人亲自办理之有效交易，该等电子交易对本机构/人均具有约束力，太平基金管理有限公司可充分信赖该等电子件并受理该等电子交易申请。</w:t>
      </w:r>
    </w:p>
    <w:tbl>
      <w:tblPr>
        <w:tblStyle w:val="11"/>
        <w:tblW w:w="104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71"/>
        <w:gridCol w:w="4224"/>
        <w:gridCol w:w="1134"/>
        <w:gridCol w:w="3827"/>
      </w:tblGrid>
      <w:tr w14:paraId="6DA67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2B6CE913">
            <w:pPr>
              <w:keepNext w:val="0"/>
              <w:keepLines w:val="0"/>
              <w:suppressLineNumbers w:val="0"/>
              <w:spacing w:before="0" w:beforeAutospacing="0" w:after="0" w:afterAutospacing="0"/>
              <w:ind w:left="0" w:right="0"/>
              <w:jc w:val="right"/>
              <w:rPr>
                <w:rFonts w:hint="default"/>
                <w:sz w:val="18"/>
                <w:szCs w:val="18"/>
              </w:rPr>
            </w:pPr>
            <w:permStart w:id="0" w:edGrp="everyone" w:colFirst="1" w:colLast="1"/>
            <w:permStart w:id="1" w:edGrp="everyone" w:colFirst="3" w:colLast="3"/>
            <w:r>
              <w:rPr>
                <w:rFonts w:hint="eastAsia"/>
                <w:sz w:val="18"/>
                <w:szCs w:val="18"/>
              </w:rPr>
              <w:t>机构名称：</w:t>
            </w:r>
          </w:p>
        </w:tc>
        <w:tc>
          <w:tcPr>
            <w:tcW w:w="4224" w:type="dxa"/>
            <w:tcBorders>
              <w:bottom w:val="single" w:color="auto" w:sz="4" w:space="0"/>
            </w:tcBorders>
          </w:tcPr>
          <w:p w14:paraId="001CF43C">
            <w:pPr>
              <w:keepNext w:val="0"/>
              <w:keepLines w:val="0"/>
              <w:suppressLineNumbers w:val="0"/>
              <w:spacing w:before="0" w:beforeAutospacing="0" w:after="0" w:afterAutospacing="0"/>
              <w:ind w:left="0" w:right="0"/>
              <w:rPr>
                <w:rFonts w:hint="default"/>
                <w:sz w:val="18"/>
                <w:szCs w:val="18"/>
              </w:rPr>
            </w:pPr>
          </w:p>
        </w:tc>
        <w:tc>
          <w:tcPr>
            <w:tcW w:w="1134" w:type="dxa"/>
          </w:tcPr>
          <w:p w14:paraId="0083B05F">
            <w:pPr>
              <w:keepNext w:val="0"/>
              <w:keepLines w:val="0"/>
              <w:suppressLineNumbers w:val="0"/>
              <w:spacing w:before="0" w:beforeAutospacing="0" w:after="0" w:afterAutospacing="0"/>
              <w:ind w:left="0" w:right="0"/>
              <w:rPr>
                <w:rFonts w:hint="default"/>
                <w:sz w:val="18"/>
                <w:szCs w:val="18"/>
              </w:rPr>
            </w:pPr>
            <w:r>
              <w:rPr>
                <w:rFonts w:hint="eastAsia"/>
                <w:sz w:val="18"/>
                <w:szCs w:val="18"/>
              </w:rPr>
              <w:t>账户名称：</w:t>
            </w:r>
          </w:p>
        </w:tc>
        <w:tc>
          <w:tcPr>
            <w:tcW w:w="3827" w:type="dxa"/>
          </w:tcPr>
          <w:p w14:paraId="47D2DA7C">
            <w:pPr>
              <w:keepNext w:val="0"/>
              <w:keepLines w:val="0"/>
              <w:suppressLineNumbers w:val="0"/>
              <w:spacing w:before="0" w:beforeAutospacing="0" w:after="0" w:afterAutospacing="0"/>
              <w:ind w:left="0" w:right="0"/>
              <w:rPr>
                <w:rFonts w:hint="default"/>
                <w:sz w:val="18"/>
                <w:szCs w:val="18"/>
              </w:rPr>
            </w:pPr>
            <w:bookmarkStart w:id="0" w:name="_GoBack"/>
            <w:bookmarkEnd w:id="0"/>
          </w:p>
        </w:tc>
      </w:tr>
      <w:permEnd w:id="0"/>
      <w:permEnd w:id="1"/>
      <w:tr w14:paraId="32114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41184214">
            <w:pPr>
              <w:keepNext w:val="0"/>
              <w:keepLines w:val="0"/>
              <w:suppressLineNumbers w:val="0"/>
              <w:spacing w:before="0" w:beforeAutospacing="0" w:after="0" w:afterAutospacing="0"/>
              <w:ind w:left="0" w:right="0"/>
              <w:jc w:val="right"/>
              <w:rPr>
                <w:rFonts w:hint="default"/>
                <w:sz w:val="18"/>
                <w:szCs w:val="18"/>
              </w:rPr>
            </w:pPr>
            <w:permStart w:id="2" w:edGrp="everyone" w:colFirst="1" w:colLast="1"/>
            <w:permStart w:id="3" w:edGrp="everyone" w:colFirst="3" w:colLast="3"/>
            <w:r>
              <w:rPr>
                <w:rFonts w:hint="eastAsia"/>
                <w:sz w:val="18"/>
                <w:szCs w:val="18"/>
              </w:rPr>
              <w:t>联系电话：</w:t>
            </w:r>
          </w:p>
        </w:tc>
        <w:tc>
          <w:tcPr>
            <w:tcW w:w="4224" w:type="dxa"/>
            <w:tcBorders>
              <w:top w:val="single" w:color="auto" w:sz="4" w:space="0"/>
              <w:bottom w:val="single" w:color="auto" w:sz="4" w:space="0"/>
            </w:tcBorders>
          </w:tcPr>
          <w:p w14:paraId="5C917007">
            <w:pPr>
              <w:keepNext w:val="0"/>
              <w:keepLines w:val="0"/>
              <w:suppressLineNumbers w:val="0"/>
              <w:spacing w:before="0" w:beforeAutospacing="0" w:after="0" w:afterAutospacing="0"/>
              <w:ind w:left="0" w:right="0"/>
              <w:rPr>
                <w:rFonts w:hint="default"/>
                <w:sz w:val="18"/>
                <w:szCs w:val="18"/>
              </w:rPr>
            </w:pPr>
          </w:p>
        </w:tc>
        <w:tc>
          <w:tcPr>
            <w:tcW w:w="1134" w:type="dxa"/>
          </w:tcPr>
          <w:p w14:paraId="6F9B0C3F">
            <w:pPr>
              <w:keepNext w:val="0"/>
              <w:keepLines w:val="0"/>
              <w:suppressLineNumbers w:val="0"/>
              <w:spacing w:before="0" w:beforeAutospacing="0" w:after="0" w:afterAutospacing="0"/>
              <w:ind w:left="0" w:right="0"/>
              <w:rPr>
                <w:rFonts w:hint="default"/>
                <w:sz w:val="18"/>
                <w:szCs w:val="18"/>
              </w:rPr>
            </w:pPr>
          </w:p>
        </w:tc>
        <w:tc>
          <w:tcPr>
            <w:tcW w:w="3827" w:type="dxa"/>
            <w:tcBorders>
              <w:top w:val="single" w:color="auto" w:sz="4" w:space="0"/>
              <w:bottom w:val="single" w:color="auto" w:sz="4" w:space="0"/>
            </w:tcBorders>
          </w:tcPr>
          <w:p w14:paraId="3CEEEDBE">
            <w:pPr>
              <w:keepNext w:val="0"/>
              <w:keepLines w:val="0"/>
              <w:suppressLineNumbers w:val="0"/>
              <w:spacing w:before="0" w:beforeAutospacing="0" w:after="0" w:afterAutospacing="0"/>
              <w:ind w:left="0" w:right="0"/>
              <w:rPr>
                <w:rFonts w:hint="default"/>
                <w:sz w:val="18"/>
                <w:szCs w:val="18"/>
              </w:rPr>
            </w:pPr>
          </w:p>
        </w:tc>
      </w:tr>
      <w:permEnd w:id="2"/>
      <w:permEnd w:id="3"/>
      <w:tr w14:paraId="5A86D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2F68C2F4">
            <w:pPr>
              <w:keepNext w:val="0"/>
              <w:keepLines w:val="0"/>
              <w:suppressLineNumbers w:val="0"/>
              <w:spacing w:before="0" w:beforeAutospacing="0" w:after="0" w:afterAutospacing="0"/>
              <w:ind w:left="0" w:right="0"/>
              <w:jc w:val="right"/>
              <w:rPr>
                <w:rFonts w:hint="default"/>
                <w:sz w:val="18"/>
                <w:szCs w:val="18"/>
              </w:rPr>
            </w:pPr>
            <w:permStart w:id="4" w:edGrp="everyone" w:colFirst="1" w:colLast="1"/>
            <w:permStart w:id="5" w:edGrp="everyone" w:colFirst="3" w:colLast="3"/>
            <w:r>
              <w:rPr>
                <w:rFonts w:hint="eastAsia"/>
                <w:sz w:val="18"/>
                <w:szCs w:val="18"/>
              </w:rPr>
              <w:t>传真：</w:t>
            </w:r>
          </w:p>
        </w:tc>
        <w:tc>
          <w:tcPr>
            <w:tcW w:w="4224" w:type="dxa"/>
            <w:tcBorders>
              <w:top w:val="single" w:color="auto" w:sz="4" w:space="0"/>
              <w:bottom w:val="single" w:color="auto" w:sz="4" w:space="0"/>
            </w:tcBorders>
          </w:tcPr>
          <w:p w14:paraId="3DC89BD9">
            <w:pPr>
              <w:keepNext w:val="0"/>
              <w:keepLines w:val="0"/>
              <w:suppressLineNumbers w:val="0"/>
              <w:spacing w:before="0" w:beforeAutospacing="0" w:after="0" w:afterAutospacing="0"/>
              <w:ind w:left="0" w:right="0"/>
              <w:rPr>
                <w:rFonts w:hint="default"/>
                <w:sz w:val="18"/>
                <w:szCs w:val="18"/>
              </w:rPr>
            </w:pPr>
          </w:p>
        </w:tc>
        <w:tc>
          <w:tcPr>
            <w:tcW w:w="1134" w:type="dxa"/>
          </w:tcPr>
          <w:p w14:paraId="331C32A0">
            <w:pPr>
              <w:keepNext w:val="0"/>
              <w:keepLines w:val="0"/>
              <w:suppressLineNumbers w:val="0"/>
              <w:spacing w:before="0" w:beforeAutospacing="0" w:after="0" w:afterAutospacing="0"/>
              <w:ind w:left="0" w:right="0"/>
              <w:rPr>
                <w:rFonts w:hint="default"/>
                <w:sz w:val="18"/>
                <w:szCs w:val="18"/>
              </w:rPr>
            </w:pPr>
          </w:p>
        </w:tc>
        <w:tc>
          <w:tcPr>
            <w:tcW w:w="3827" w:type="dxa"/>
            <w:tcBorders>
              <w:top w:val="single" w:color="auto" w:sz="4" w:space="0"/>
              <w:bottom w:val="single" w:color="auto" w:sz="4" w:space="0"/>
            </w:tcBorders>
          </w:tcPr>
          <w:p w14:paraId="2FA83672">
            <w:pPr>
              <w:keepNext w:val="0"/>
              <w:keepLines w:val="0"/>
              <w:suppressLineNumbers w:val="0"/>
              <w:spacing w:before="0" w:beforeAutospacing="0" w:after="0" w:afterAutospacing="0"/>
              <w:ind w:left="0" w:right="0"/>
              <w:rPr>
                <w:rFonts w:hint="default"/>
                <w:sz w:val="18"/>
                <w:szCs w:val="18"/>
              </w:rPr>
            </w:pPr>
          </w:p>
        </w:tc>
      </w:tr>
      <w:permEnd w:id="4"/>
      <w:permEnd w:id="5"/>
      <w:tr w14:paraId="39FA8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674C7BD8">
            <w:pPr>
              <w:keepNext w:val="0"/>
              <w:keepLines w:val="0"/>
              <w:suppressLineNumbers w:val="0"/>
              <w:spacing w:before="0" w:beforeAutospacing="0" w:after="0" w:afterAutospacing="0"/>
              <w:ind w:left="0" w:right="0"/>
              <w:jc w:val="right"/>
              <w:rPr>
                <w:rFonts w:hint="default"/>
                <w:sz w:val="18"/>
                <w:szCs w:val="18"/>
              </w:rPr>
            </w:pPr>
            <w:permStart w:id="6" w:edGrp="everyone" w:colFirst="1" w:colLast="1"/>
            <w:permStart w:id="7" w:edGrp="everyone" w:colFirst="3" w:colLast="3"/>
            <w:r>
              <w:rPr>
                <w:rFonts w:hint="eastAsia"/>
                <w:sz w:val="18"/>
                <w:szCs w:val="18"/>
              </w:rPr>
              <w:t>Email：</w:t>
            </w:r>
          </w:p>
        </w:tc>
        <w:tc>
          <w:tcPr>
            <w:tcW w:w="4224" w:type="dxa"/>
            <w:tcBorders>
              <w:top w:val="single" w:color="auto" w:sz="4" w:space="0"/>
              <w:bottom w:val="single" w:color="auto" w:sz="4" w:space="0"/>
            </w:tcBorders>
          </w:tcPr>
          <w:p w14:paraId="40BBC5EB">
            <w:pPr>
              <w:keepNext w:val="0"/>
              <w:keepLines w:val="0"/>
              <w:suppressLineNumbers w:val="0"/>
              <w:spacing w:before="0" w:beforeAutospacing="0" w:after="0" w:afterAutospacing="0"/>
              <w:ind w:left="0" w:right="0"/>
              <w:rPr>
                <w:rFonts w:hint="default"/>
                <w:sz w:val="18"/>
                <w:szCs w:val="18"/>
              </w:rPr>
            </w:pPr>
          </w:p>
        </w:tc>
        <w:tc>
          <w:tcPr>
            <w:tcW w:w="1134" w:type="dxa"/>
          </w:tcPr>
          <w:p w14:paraId="5632D881">
            <w:pPr>
              <w:keepNext w:val="0"/>
              <w:keepLines w:val="0"/>
              <w:suppressLineNumbers w:val="0"/>
              <w:spacing w:before="0" w:beforeAutospacing="0" w:after="0" w:afterAutospacing="0"/>
              <w:ind w:left="0" w:right="0"/>
              <w:rPr>
                <w:rFonts w:hint="default"/>
                <w:sz w:val="18"/>
                <w:szCs w:val="18"/>
              </w:rPr>
            </w:pPr>
          </w:p>
        </w:tc>
        <w:tc>
          <w:tcPr>
            <w:tcW w:w="3827" w:type="dxa"/>
            <w:tcBorders>
              <w:top w:val="single" w:color="auto" w:sz="4" w:space="0"/>
              <w:bottom w:val="single" w:color="auto" w:sz="4" w:space="0"/>
            </w:tcBorders>
          </w:tcPr>
          <w:p w14:paraId="7BFB167C">
            <w:pPr>
              <w:keepNext w:val="0"/>
              <w:keepLines w:val="0"/>
              <w:suppressLineNumbers w:val="0"/>
              <w:spacing w:before="0" w:beforeAutospacing="0" w:after="0" w:afterAutospacing="0"/>
              <w:ind w:left="0" w:right="0"/>
              <w:rPr>
                <w:rFonts w:hint="default"/>
                <w:sz w:val="18"/>
                <w:szCs w:val="18"/>
              </w:rPr>
            </w:pPr>
          </w:p>
        </w:tc>
      </w:tr>
      <w:permEnd w:id="6"/>
      <w:permEnd w:id="7"/>
    </w:tbl>
    <w:p w14:paraId="518426CA">
      <w:pPr>
        <w:ind w:right="720" w:firstLine="419" w:firstLineChars="233"/>
        <w:rPr>
          <w:rFonts w:hint="eastAsia"/>
          <w:sz w:val="18"/>
          <w:szCs w:val="18"/>
        </w:rPr>
      </w:pPr>
    </w:p>
    <w:p w14:paraId="57E712CB">
      <w:pPr>
        <w:wordWrap w:val="0"/>
        <w:ind w:left="420" w:right="720" w:firstLine="419" w:firstLineChars="233"/>
        <w:jc w:val="right"/>
        <w:rPr>
          <w:sz w:val="18"/>
          <w:szCs w:val="18"/>
        </w:rPr>
      </w:pPr>
      <w:r>
        <w:rPr>
          <w:rFonts w:hint="eastAsia"/>
          <w:sz w:val="18"/>
          <w:szCs w:val="18"/>
        </w:rPr>
        <w:t>机构公章：</w:t>
      </w:r>
      <w:r>
        <w:rPr>
          <w:rFonts w:hint="eastAsia"/>
          <w:sz w:val="18"/>
          <w:szCs w:val="18"/>
          <w:lang w:val="en-US" w:eastAsia="zh-CN"/>
        </w:rPr>
        <w:t xml:space="preserve">                                                          </w:t>
      </w:r>
      <w:r>
        <w:rPr>
          <w:rFonts w:hint="eastAsia"/>
          <w:sz w:val="18"/>
          <w:szCs w:val="18"/>
        </w:rPr>
        <w:t xml:space="preserve">投资人/授权经办人（签名）：                     </w:t>
      </w:r>
    </w:p>
    <w:p w14:paraId="47D00CC0">
      <w:pPr>
        <w:pStyle w:val="17"/>
        <w:ind w:left="420" w:right="180" w:firstLine="4500" w:firstLineChars="2500"/>
        <w:jc w:val="right"/>
        <w:rPr>
          <w:sz w:val="18"/>
          <w:szCs w:val="18"/>
        </w:rPr>
      </w:pPr>
      <w:r>
        <w:rPr>
          <w:rFonts w:hint="eastAsia"/>
          <w:sz w:val="18"/>
          <w:szCs w:val="18"/>
        </w:rPr>
        <w:t>日期</w:t>
      </w:r>
      <w:permStart w:id="8" w:edGrp="everyone"/>
      <w:r>
        <w:rPr>
          <w:rFonts w:hint="eastAsia"/>
          <w:sz w:val="18"/>
          <w:szCs w:val="18"/>
        </w:rPr>
        <w:t xml:space="preserve">：      年    月    </w:t>
      </w:r>
      <w:permEnd w:id="8"/>
      <w:r>
        <w:rPr>
          <w:rFonts w:hint="eastAsia"/>
          <w:sz w:val="18"/>
          <w:szCs w:val="18"/>
        </w:rPr>
        <w:t>日</w:t>
      </w:r>
    </w:p>
    <w:p w14:paraId="0D9D82F0">
      <w:pPr>
        <w:pStyle w:val="17"/>
        <w:numPr>
          <w:ilvl w:val="0"/>
          <w:numId w:val="1"/>
        </w:numPr>
        <w:spacing w:line="296" w:lineRule="exact"/>
        <w:ind w:firstLineChars="0"/>
        <w:jc w:val="left"/>
        <w:rPr>
          <w:rFonts w:hint="eastAsia" w:ascii="宋体" w:hAnsi="宋体" w:eastAsia="宋体" w:cs="宋体"/>
          <w:b/>
          <w:bCs/>
          <w:sz w:val="18"/>
          <w:szCs w:val="18"/>
        </w:rPr>
      </w:pPr>
      <w:r>
        <w:rPr>
          <w:rFonts w:hint="eastAsia" w:ascii="宋体" w:hAnsi="宋体" w:eastAsia="宋体" w:cs="宋体"/>
          <w:b/>
          <w:bCs/>
          <w:sz w:val="18"/>
          <w:szCs w:val="18"/>
        </w:rPr>
        <w:t>电子业务流程</w:t>
      </w:r>
    </w:p>
    <w:p w14:paraId="59375D4A">
      <w:pPr>
        <w:pStyle w:val="17"/>
        <w:numPr>
          <w:ilvl w:val="0"/>
          <w:numId w:val="2"/>
        </w:numPr>
        <w:spacing w:line="296" w:lineRule="exact"/>
        <w:ind w:left="420" w:hanging="420" w:firstLineChars="0"/>
        <w:jc w:val="both"/>
        <w:rPr>
          <w:rFonts w:hint="eastAsia" w:ascii="宋体" w:hAnsi="宋体" w:eastAsia="宋体" w:cs="宋体"/>
          <w:sz w:val="18"/>
          <w:szCs w:val="18"/>
        </w:rPr>
      </w:pPr>
      <w:r>
        <w:rPr>
          <w:rFonts w:hint="eastAsia" w:ascii="宋体" w:hAnsi="宋体" w:eastAsia="宋体" w:cs="宋体"/>
          <w:sz w:val="18"/>
          <w:szCs w:val="18"/>
        </w:rPr>
        <w:t>投资者在完整填写本申请函并经本公司确认后方可以进行电子交易</w:t>
      </w:r>
      <w:r>
        <w:rPr>
          <w:rFonts w:hint="eastAsia" w:ascii="宋体" w:hAnsi="宋体" w:eastAsia="宋体" w:cs="宋体"/>
          <w:sz w:val="18"/>
          <w:szCs w:val="18"/>
          <w:lang w:val="en-US" w:eastAsia="zh-CN"/>
        </w:rPr>
        <w:t>及网上交易</w:t>
      </w:r>
      <w:r>
        <w:rPr>
          <w:rFonts w:hint="eastAsia" w:ascii="宋体" w:hAnsi="宋体" w:eastAsia="宋体" w:cs="宋体"/>
          <w:sz w:val="18"/>
          <w:szCs w:val="18"/>
        </w:rPr>
        <w:t>；</w:t>
      </w:r>
    </w:p>
    <w:p w14:paraId="0F01E964">
      <w:pPr>
        <w:pStyle w:val="17"/>
        <w:numPr>
          <w:ilvl w:val="0"/>
          <w:numId w:val="2"/>
        </w:numPr>
        <w:spacing w:line="296" w:lineRule="exact"/>
        <w:ind w:left="420" w:hanging="420" w:firstLineChars="0"/>
        <w:jc w:val="both"/>
        <w:rPr>
          <w:rFonts w:hint="eastAsia" w:ascii="宋体" w:hAnsi="宋体" w:eastAsia="宋体" w:cs="宋体"/>
          <w:sz w:val="18"/>
          <w:szCs w:val="18"/>
        </w:rPr>
      </w:pPr>
      <w:r>
        <w:rPr>
          <w:rFonts w:hint="eastAsia" w:ascii="宋体" w:hAnsi="宋体" w:eastAsia="宋体" w:cs="宋体"/>
          <w:sz w:val="18"/>
          <w:szCs w:val="18"/>
        </w:rPr>
        <w:t>电子交易的形式包括传真、电邮等；</w:t>
      </w:r>
    </w:p>
    <w:p w14:paraId="5C51DF2B">
      <w:pPr>
        <w:pStyle w:val="17"/>
        <w:numPr>
          <w:ilvl w:val="0"/>
          <w:numId w:val="2"/>
        </w:numPr>
        <w:spacing w:before="0" w:line="296" w:lineRule="exact"/>
        <w:ind w:left="420" w:right="0" w:hanging="420" w:firstLineChars="0"/>
        <w:jc w:val="both"/>
        <w:rPr>
          <w:rFonts w:hint="eastAsia" w:ascii="宋体" w:hAnsi="宋体" w:eastAsia="宋体" w:cs="宋体"/>
          <w:sz w:val="18"/>
          <w:szCs w:val="18"/>
          <w:highlight w:val="none"/>
        </w:rPr>
      </w:pPr>
      <w:r>
        <w:rPr>
          <w:rFonts w:hint="eastAsia" w:ascii="宋体" w:hAnsi="宋体" w:eastAsia="宋体" w:cs="宋体"/>
          <w:sz w:val="18"/>
          <w:szCs w:val="18"/>
          <w:highlight w:val="none"/>
        </w:rPr>
        <w:t>电子交易的范围限于本公司所管理产品的认购、申购、赎回、转换、设置分红方式、转托管申请以及交易撤单申请，以及机构客户的</w:t>
      </w:r>
      <w:r>
        <w:rPr>
          <w:rFonts w:hint="eastAsia" w:ascii="宋体" w:hAnsi="宋体" w:eastAsia="宋体" w:cs="宋体"/>
          <w:sz w:val="18"/>
          <w:szCs w:val="18"/>
          <w:highlight w:val="none"/>
          <w:lang w:val="en-US" w:eastAsia="zh-CN"/>
        </w:rPr>
        <w:t>账户非关键信息的变更</w:t>
      </w:r>
      <w:r>
        <w:rPr>
          <w:rFonts w:hint="eastAsia" w:ascii="宋体" w:hAnsi="宋体" w:eastAsia="宋体" w:cs="宋体"/>
          <w:sz w:val="18"/>
          <w:szCs w:val="18"/>
          <w:highlight w:val="none"/>
        </w:rPr>
        <w:t>申请；</w:t>
      </w:r>
    </w:p>
    <w:p w14:paraId="6BCB7284">
      <w:pPr>
        <w:pStyle w:val="17"/>
        <w:numPr>
          <w:ilvl w:val="0"/>
          <w:numId w:val="2"/>
        </w:numPr>
        <w:spacing w:line="296" w:lineRule="exact"/>
        <w:ind w:left="420" w:hanging="420" w:firstLineChars="0"/>
        <w:jc w:val="both"/>
        <w:rPr>
          <w:rFonts w:hint="eastAsia" w:ascii="宋体" w:hAnsi="宋体" w:eastAsia="宋体" w:cs="宋体"/>
          <w:sz w:val="18"/>
          <w:szCs w:val="18"/>
          <w:highlight w:val="none"/>
        </w:rPr>
      </w:pPr>
      <w:r>
        <w:rPr>
          <w:rFonts w:hint="eastAsia" w:ascii="宋体" w:hAnsi="宋体" w:eastAsia="宋体" w:cs="宋体"/>
          <w:sz w:val="18"/>
          <w:szCs w:val="18"/>
          <w:highlight w:val="none"/>
        </w:rPr>
        <w:t>网上交易</w:t>
      </w:r>
      <w:r>
        <w:rPr>
          <w:rFonts w:hint="eastAsia" w:ascii="宋体" w:hAnsi="宋体" w:eastAsia="宋体" w:cs="宋体"/>
          <w:sz w:val="18"/>
          <w:szCs w:val="18"/>
          <w:highlight w:val="none"/>
          <w:lang w:val="en-US" w:eastAsia="zh-CN"/>
        </w:rPr>
        <w:t>的形式</w:t>
      </w:r>
      <w:r>
        <w:rPr>
          <w:rFonts w:hint="eastAsia" w:ascii="宋体" w:hAnsi="宋体" w:eastAsia="宋体" w:cs="宋体"/>
          <w:sz w:val="18"/>
          <w:szCs w:val="18"/>
          <w:highlight w:val="none"/>
        </w:rPr>
        <w:t>业务范围</w:t>
      </w:r>
      <w:r>
        <w:rPr>
          <w:rFonts w:hint="eastAsia" w:ascii="宋体" w:hAnsi="宋体" w:eastAsia="宋体" w:cs="宋体"/>
          <w:spacing w:val="0"/>
          <w:sz w:val="18"/>
          <w:szCs w:val="18"/>
          <w:highlight w:val="none"/>
        </w:rPr>
        <w:t>指通过中国证券登记结算有限责任公司提供的金融机构服务平台(以下简称“FISP 平台”）提交交易申</w:t>
      </w:r>
      <w:r>
        <w:rPr>
          <w:rFonts w:hint="eastAsia" w:ascii="宋体" w:hAnsi="宋体" w:eastAsia="宋体" w:cs="宋体"/>
          <w:spacing w:val="0"/>
          <w:sz w:val="18"/>
          <w:szCs w:val="18"/>
          <w:highlight w:val="none"/>
          <w:lang w:val="en-US" w:eastAsia="zh-CN"/>
        </w:rPr>
        <w:t xml:space="preserve">         </w:t>
      </w:r>
      <w:r>
        <w:rPr>
          <w:rFonts w:hint="eastAsia" w:ascii="宋体" w:hAnsi="宋体" w:eastAsia="宋体" w:cs="宋体"/>
          <w:spacing w:val="0"/>
          <w:sz w:val="18"/>
          <w:szCs w:val="18"/>
          <w:lang w:val="en-US" w:eastAsia="zh-CN"/>
        </w:rPr>
        <w:t xml:space="preserve">       </w:t>
      </w:r>
      <w:r>
        <w:rPr>
          <w:rFonts w:hint="eastAsia" w:ascii="宋体" w:hAnsi="宋体" w:eastAsia="宋体" w:cs="宋体"/>
          <w:spacing w:val="0"/>
          <w:sz w:val="18"/>
          <w:szCs w:val="18"/>
          <w:highlight w:val="none"/>
        </w:rPr>
        <w:t>请，从而完成交易的方式。</w:t>
      </w:r>
    </w:p>
    <w:p w14:paraId="121288A1">
      <w:pPr>
        <w:pStyle w:val="17"/>
        <w:numPr>
          <w:ilvl w:val="0"/>
          <w:numId w:val="2"/>
        </w:numPr>
        <w:spacing w:line="296" w:lineRule="exact"/>
        <w:ind w:left="420" w:hanging="420" w:firstLineChars="0"/>
        <w:jc w:val="both"/>
        <w:rPr>
          <w:rFonts w:hint="eastAsia" w:ascii="宋体" w:hAnsi="宋体" w:eastAsia="宋体" w:cs="宋体"/>
          <w:sz w:val="18"/>
          <w:szCs w:val="18"/>
          <w:highlight w:val="none"/>
        </w:rPr>
      </w:pPr>
      <w:r>
        <w:rPr>
          <w:rFonts w:hint="eastAsia" w:ascii="宋体" w:hAnsi="宋体" w:eastAsia="宋体" w:cs="宋体"/>
          <w:sz w:val="18"/>
          <w:szCs w:val="18"/>
          <w:highlight w:val="none"/>
        </w:rPr>
        <w:t>网上交易业务范围</w:t>
      </w:r>
      <w:r>
        <w:rPr>
          <w:rFonts w:hint="eastAsia" w:ascii="宋体" w:hAnsi="宋体" w:eastAsia="宋体" w:cs="宋体"/>
          <w:spacing w:val="0"/>
          <w:sz w:val="18"/>
          <w:szCs w:val="18"/>
        </w:rPr>
        <w:t>是</w:t>
      </w:r>
      <w:r>
        <w:rPr>
          <w:rFonts w:hint="eastAsia" w:ascii="宋体" w:hAnsi="宋体" w:eastAsia="宋体" w:cs="宋体"/>
          <w:spacing w:val="0"/>
          <w:sz w:val="18"/>
          <w:szCs w:val="18"/>
          <w:highlight w:val="none"/>
        </w:rPr>
        <w:t>交易类：认购、申购、赎回、基金转换、分红方式修改、交易撤单。如FISP平台提供除上述交易之外的功能，以</w:t>
      </w:r>
      <w:r>
        <w:rPr>
          <w:rFonts w:hint="eastAsia" w:ascii="宋体" w:hAnsi="宋体" w:eastAsia="宋体" w:cs="宋体"/>
          <w:spacing w:val="0"/>
          <w:sz w:val="18"/>
          <w:szCs w:val="18"/>
          <w:highlight w:val="none"/>
          <w:lang w:val="en-US" w:eastAsia="zh-CN"/>
        </w:rPr>
        <w:t>本公司</w:t>
      </w:r>
      <w:r>
        <w:rPr>
          <w:rFonts w:hint="eastAsia" w:ascii="宋体" w:hAnsi="宋体" w:eastAsia="宋体" w:cs="宋体"/>
          <w:spacing w:val="0"/>
          <w:sz w:val="18"/>
          <w:szCs w:val="18"/>
          <w:highlight w:val="none"/>
        </w:rPr>
        <w:t>评估确认可接收后，</w:t>
      </w:r>
      <w:r>
        <w:rPr>
          <w:rFonts w:hint="eastAsia" w:ascii="宋体" w:hAnsi="宋体" w:eastAsia="宋体" w:cs="宋体"/>
          <w:spacing w:val="0"/>
          <w:sz w:val="18"/>
          <w:szCs w:val="18"/>
          <w:highlight w:val="none"/>
          <w:lang w:val="en-US" w:eastAsia="zh-CN"/>
        </w:rPr>
        <w:t>投资者</w:t>
      </w:r>
      <w:r>
        <w:rPr>
          <w:rFonts w:hint="eastAsia" w:ascii="宋体" w:hAnsi="宋体" w:eastAsia="宋体" w:cs="宋体"/>
          <w:spacing w:val="0"/>
          <w:sz w:val="18"/>
          <w:szCs w:val="18"/>
          <w:highlight w:val="none"/>
        </w:rPr>
        <w:t>可提交除上述交易之外的其他交易申请。</w:t>
      </w:r>
    </w:p>
    <w:p w14:paraId="1E1E65E1">
      <w:pPr>
        <w:pStyle w:val="17"/>
        <w:numPr>
          <w:ilvl w:val="0"/>
          <w:numId w:val="2"/>
        </w:numPr>
        <w:spacing w:line="296" w:lineRule="exact"/>
        <w:ind w:left="420" w:hanging="420" w:firstLineChars="0"/>
        <w:jc w:val="both"/>
        <w:rPr>
          <w:rFonts w:hint="eastAsia" w:ascii="宋体" w:hAnsi="宋体" w:eastAsia="宋体" w:cs="宋体"/>
          <w:sz w:val="18"/>
          <w:szCs w:val="18"/>
        </w:rPr>
      </w:pPr>
      <w:r>
        <w:rPr>
          <w:rFonts w:hint="eastAsia" w:ascii="宋体" w:hAnsi="宋体" w:eastAsia="宋体" w:cs="宋体"/>
          <w:sz w:val="18"/>
          <w:szCs w:val="18"/>
        </w:rPr>
        <w:t>投资者进行电子交易时，应将本公司要求的相关表单及材料传真或电邮至本公司所指定的传真设备号码：021-38556751或电子邮箱：</w:t>
      </w:r>
      <w:r>
        <w:rPr>
          <w:rFonts w:hint="eastAsia" w:ascii="宋体" w:hAnsi="宋体" w:eastAsia="宋体" w:cs="宋体"/>
          <w:b/>
          <w:sz w:val="18"/>
          <w:szCs w:val="18"/>
        </w:rPr>
        <w:t>direct-selling@taipingfund.com.cn</w:t>
      </w:r>
      <w:r>
        <w:rPr>
          <w:rFonts w:hint="eastAsia" w:ascii="宋体" w:hAnsi="宋体" w:eastAsia="宋体" w:cs="宋体"/>
          <w:sz w:val="18"/>
          <w:szCs w:val="18"/>
        </w:rPr>
        <w:t>；</w:t>
      </w:r>
    </w:p>
    <w:p w14:paraId="2BD63ABC">
      <w:pPr>
        <w:pStyle w:val="17"/>
        <w:numPr>
          <w:ilvl w:val="0"/>
          <w:numId w:val="2"/>
        </w:numPr>
        <w:spacing w:line="296" w:lineRule="exact"/>
        <w:ind w:left="420" w:hanging="420" w:firstLineChars="0"/>
        <w:jc w:val="both"/>
        <w:rPr>
          <w:rFonts w:hint="eastAsia" w:ascii="宋体" w:hAnsi="宋体" w:eastAsia="宋体" w:cs="宋体"/>
          <w:sz w:val="18"/>
          <w:szCs w:val="18"/>
        </w:rPr>
      </w:pPr>
      <w:r>
        <w:rPr>
          <w:rFonts w:hint="eastAsia" w:ascii="宋体" w:hAnsi="宋体" w:eastAsia="宋体" w:cs="宋体"/>
          <w:sz w:val="18"/>
          <w:szCs w:val="18"/>
        </w:rPr>
        <w:t>投资者应在向本公司电子基金交易申请表单及资料的当天交易时间内与本公司进行电话确认，没有进行电话确认，或电话确认内容与电子材料的内容有任何不一致或不完整的，本公司有权不受理该笔电子交易；</w:t>
      </w:r>
    </w:p>
    <w:p w14:paraId="3CABFBD4">
      <w:pPr>
        <w:pStyle w:val="17"/>
        <w:numPr>
          <w:ilvl w:val="0"/>
          <w:numId w:val="2"/>
        </w:numPr>
        <w:spacing w:line="296" w:lineRule="exact"/>
        <w:ind w:left="420" w:hanging="420" w:firstLineChars="0"/>
        <w:jc w:val="both"/>
        <w:rPr>
          <w:rFonts w:hint="eastAsia" w:ascii="宋体" w:hAnsi="宋体" w:eastAsia="宋体" w:cs="宋体"/>
          <w:sz w:val="18"/>
          <w:szCs w:val="18"/>
        </w:rPr>
      </w:pPr>
      <w:r>
        <w:rPr>
          <w:rFonts w:hint="eastAsia" w:ascii="宋体" w:hAnsi="宋体" w:eastAsia="宋体" w:cs="宋体"/>
          <w:sz w:val="18"/>
          <w:szCs w:val="18"/>
        </w:rPr>
        <w:t>投资者应在发出电子交易申请后的七个工作日内将相关文件原件以挂号信或专递的形式寄出(以邮戳为准)，寄至本公司的直销柜台(联系方式见本页下方)。如规定时间内未收到电子交易表单原件，则电子件效力视同原件</w:t>
      </w:r>
      <w:r>
        <w:rPr>
          <w:rFonts w:hint="eastAsia" w:ascii="宋体" w:hAnsi="宋体" w:eastAsia="宋体" w:cs="宋体"/>
          <w:sz w:val="18"/>
          <w:szCs w:val="18"/>
          <w:lang w:eastAsia="zh-CN"/>
        </w:rPr>
        <w:t>；</w:t>
      </w:r>
    </w:p>
    <w:p w14:paraId="6BC3F905">
      <w:pPr>
        <w:pStyle w:val="17"/>
        <w:numPr>
          <w:ilvl w:val="0"/>
          <w:numId w:val="2"/>
        </w:numPr>
        <w:spacing w:line="296" w:lineRule="exact"/>
        <w:ind w:left="420" w:hanging="420" w:firstLineChars="0"/>
        <w:jc w:val="both"/>
        <w:rPr>
          <w:rFonts w:hint="eastAsia" w:ascii="宋体" w:hAnsi="宋体" w:eastAsia="宋体" w:cs="宋体"/>
          <w:sz w:val="18"/>
          <w:szCs w:val="18"/>
        </w:rPr>
      </w:pPr>
      <w:r>
        <w:rPr>
          <w:rFonts w:hint="eastAsia" w:ascii="宋体" w:hAnsi="宋体" w:eastAsia="宋体" w:cs="宋体"/>
          <w:sz w:val="18"/>
          <w:szCs w:val="18"/>
        </w:rPr>
        <w:t>直销柜台收到电子交易的认购、申购申请后，在规定时间内验证资金到账后才提交业务申请，否则该申请将被视为无效申请。</w:t>
      </w:r>
    </w:p>
    <w:p w14:paraId="779B3CEA">
      <w:pPr>
        <w:pStyle w:val="17"/>
        <w:numPr>
          <w:ilvl w:val="0"/>
          <w:numId w:val="2"/>
        </w:numPr>
        <w:spacing w:line="296" w:lineRule="exact"/>
        <w:ind w:left="420" w:hanging="420" w:firstLineChars="0"/>
        <w:jc w:val="both"/>
        <w:rPr>
          <w:rFonts w:hint="eastAsia" w:ascii="宋体" w:hAnsi="宋体" w:eastAsia="宋体" w:cs="宋体"/>
          <w:sz w:val="18"/>
          <w:szCs w:val="18"/>
        </w:rPr>
      </w:pPr>
      <w:r>
        <w:rPr>
          <w:rFonts w:hint="eastAsia" w:ascii="宋体" w:hAnsi="宋体" w:eastAsia="宋体" w:cs="宋体"/>
          <w:sz w:val="18"/>
          <w:szCs w:val="18"/>
        </w:rPr>
        <w:t>本公司收到赎回申请，应在验证交易账户有足够基金余额时方受理申请，否则视为无效申请，本公司可不予执行赎回申请；</w:t>
      </w:r>
    </w:p>
    <w:p w14:paraId="007F4BD8">
      <w:pPr>
        <w:pStyle w:val="17"/>
        <w:numPr>
          <w:ilvl w:val="0"/>
          <w:numId w:val="2"/>
        </w:numPr>
        <w:spacing w:line="296" w:lineRule="exact"/>
        <w:ind w:left="420" w:hanging="420" w:firstLineChars="0"/>
        <w:jc w:val="both"/>
        <w:rPr>
          <w:rFonts w:hint="eastAsia" w:ascii="宋体" w:hAnsi="宋体" w:eastAsia="宋体" w:cs="宋体"/>
          <w:sz w:val="18"/>
          <w:szCs w:val="18"/>
        </w:rPr>
      </w:pPr>
      <w:r>
        <w:rPr>
          <w:rFonts w:hint="eastAsia" w:ascii="宋体" w:hAnsi="宋体" w:eastAsia="宋体" w:cs="宋体"/>
          <w:sz w:val="18"/>
          <w:szCs w:val="18"/>
        </w:rPr>
        <w:t>投资者如欲取消电子交易业务，应以书面形式向本公司提出申请。</w:t>
      </w:r>
    </w:p>
    <w:p w14:paraId="60BA1626">
      <w:pPr>
        <w:pStyle w:val="17"/>
        <w:numPr>
          <w:ilvl w:val="-1"/>
          <w:numId w:val="0"/>
        </w:numPr>
        <w:spacing w:line="296" w:lineRule="exact"/>
        <w:ind w:left="0" w:firstLine="0" w:firstLineChars="0"/>
        <w:jc w:val="both"/>
        <w:rPr>
          <w:rFonts w:hint="eastAsia" w:ascii="宋体" w:hAnsi="宋体" w:eastAsia="宋体" w:cs="宋体"/>
          <w:sz w:val="18"/>
          <w:szCs w:val="18"/>
        </w:rPr>
      </w:pPr>
    </w:p>
    <w:p w14:paraId="58D2BCB4">
      <w:pPr>
        <w:pStyle w:val="17"/>
        <w:numPr>
          <w:ilvl w:val="0"/>
          <w:numId w:val="1"/>
        </w:numPr>
        <w:spacing w:line="296" w:lineRule="exact"/>
        <w:ind w:firstLineChars="0"/>
        <w:jc w:val="left"/>
        <w:rPr>
          <w:rFonts w:hint="eastAsia" w:ascii="宋体" w:hAnsi="宋体" w:eastAsia="宋体" w:cs="宋体"/>
          <w:b/>
          <w:bCs/>
          <w:sz w:val="18"/>
          <w:szCs w:val="18"/>
        </w:rPr>
      </w:pPr>
      <w:r>
        <w:rPr>
          <w:rFonts w:hint="eastAsia" w:ascii="宋体" w:hAnsi="宋体" w:eastAsia="宋体" w:cs="宋体"/>
          <w:b/>
          <w:bCs/>
          <w:sz w:val="18"/>
          <w:szCs w:val="18"/>
        </w:rPr>
        <w:t>特别注意事项</w:t>
      </w:r>
    </w:p>
    <w:p w14:paraId="6F1CBAF4">
      <w:pPr>
        <w:pStyle w:val="17"/>
        <w:numPr>
          <w:ilvl w:val="0"/>
          <w:numId w:val="3"/>
        </w:numPr>
        <w:spacing w:line="296" w:lineRule="exact"/>
        <w:ind w:left="420" w:firstLineChars="0"/>
        <w:jc w:val="both"/>
        <w:rPr>
          <w:rFonts w:hint="eastAsia" w:ascii="宋体" w:hAnsi="宋体" w:eastAsia="宋体" w:cs="宋体"/>
          <w:sz w:val="18"/>
          <w:szCs w:val="18"/>
        </w:rPr>
      </w:pPr>
      <w:r>
        <w:rPr>
          <w:rFonts w:hint="eastAsia" w:ascii="宋体" w:hAnsi="宋体" w:eastAsia="宋体" w:cs="宋体"/>
          <w:sz w:val="18"/>
          <w:szCs w:val="18"/>
        </w:rPr>
        <w:t>投资者的电子交易申请一经电话确认则不可取消；</w:t>
      </w:r>
    </w:p>
    <w:p w14:paraId="35FCC73F">
      <w:pPr>
        <w:pStyle w:val="17"/>
        <w:numPr>
          <w:ilvl w:val="0"/>
          <w:numId w:val="3"/>
        </w:numPr>
        <w:spacing w:line="296" w:lineRule="exact"/>
        <w:ind w:left="420" w:firstLineChars="0"/>
        <w:jc w:val="both"/>
        <w:rPr>
          <w:rFonts w:hint="eastAsia" w:ascii="宋体" w:hAnsi="宋体" w:eastAsia="宋体" w:cs="宋体"/>
          <w:sz w:val="18"/>
          <w:szCs w:val="18"/>
        </w:rPr>
      </w:pPr>
      <w:r>
        <w:rPr>
          <w:rFonts w:hint="eastAsia" w:ascii="宋体" w:hAnsi="宋体" w:eastAsia="宋体" w:cs="宋体"/>
          <w:sz w:val="18"/>
          <w:szCs w:val="18"/>
        </w:rPr>
        <w:t>本公司将对投资者的电子交易申请电话确认内容进行录音以备核查。投资者同意对电话语音的录制，并认可该电话记录是相关交易真实有效的证据，在任何司法程序中不对该电话纪录提出任何形式的质疑；</w:t>
      </w:r>
    </w:p>
    <w:p w14:paraId="42144FB5">
      <w:pPr>
        <w:pStyle w:val="17"/>
        <w:numPr>
          <w:ilvl w:val="0"/>
          <w:numId w:val="3"/>
        </w:numPr>
        <w:spacing w:line="296" w:lineRule="exact"/>
        <w:ind w:left="420" w:firstLineChars="0"/>
        <w:jc w:val="both"/>
        <w:rPr>
          <w:rFonts w:hint="eastAsia" w:ascii="宋体" w:hAnsi="宋体" w:eastAsia="宋体" w:cs="宋体"/>
          <w:sz w:val="18"/>
          <w:szCs w:val="18"/>
        </w:rPr>
      </w:pPr>
      <w:r>
        <w:rPr>
          <w:rFonts w:hint="eastAsia" w:ascii="宋体" w:hAnsi="宋体" w:eastAsia="宋体" w:cs="宋体"/>
          <w:sz w:val="18"/>
          <w:szCs w:val="18"/>
        </w:rPr>
        <w:t>本公司仅根据投资者书面指定的授权经办人所发的电子处理投资者的交易申请，投资者同意并承认只有授权经办人发出的电子申请为有效申请，公司无需对授权经办人以外的人发出的电子申请所产生的任何法律后果负责；</w:t>
      </w:r>
    </w:p>
    <w:p w14:paraId="2C765418">
      <w:pPr>
        <w:pStyle w:val="17"/>
        <w:numPr>
          <w:ilvl w:val="0"/>
          <w:numId w:val="3"/>
        </w:numPr>
        <w:spacing w:line="296" w:lineRule="exact"/>
        <w:ind w:left="420" w:firstLineChars="0"/>
        <w:jc w:val="both"/>
        <w:rPr>
          <w:rFonts w:hint="eastAsia" w:ascii="宋体" w:hAnsi="宋体" w:eastAsia="宋体" w:cs="宋体"/>
          <w:sz w:val="18"/>
          <w:szCs w:val="18"/>
        </w:rPr>
      </w:pPr>
      <w:r>
        <w:rPr>
          <w:rFonts w:hint="eastAsia" w:ascii="宋体" w:hAnsi="宋体" w:eastAsia="宋体" w:cs="宋体"/>
          <w:sz w:val="18"/>
          <w:szCs w:val="18"/>
        </w:rPr>
        <w:t>本公司仅对电子交易申请的表面真实性进行审查，对电子交易申请是否为投资者的真实意思表示不负责审查；</w:t>
      </w:r>
    </w:p>
    <w:p w14:paraId="01074482">
      <w:pPr>
        <w:pStyle w:val="17"/>
        <w:numPr>
          <w:ilvl w:val="0"/>
          <w:numId w:val="3"/>
        </w:numPr>
        <w:spacing w:line="296" w:lineRule="exact"/>
        <w:ind w:left="420" w:firstLineChars="0"/>
        <w:jc w:val="both"/>
        <w:rPr>
          <w:rFonts w:hint="eastAsia" w:ascii="宋体" w:hAnsi="宋体" w:eastAsia="宋体" w:cs="宋体"/>
          <w:sz w:val="18"/>
          <w:szCs w:val="18"/>
        </w:rPr>
      </w:pPr>
      <w:r>
        <w:rPr>
          <w:rFonts w:hint="eastAsia" w:ascii="宋体" w:hAnsi="宋体" w:eastAsia="宋体" w:cs="宋体"/>
          <w:sz w:val="18"/>
          <w:szCs w:val="18"/>
        </w:rPr>
        <w:t>如本公司未收到、未全部收到、或接收到的投资者电子资料不准确、不完整、无法识别或投资者违反法律、法规、规章、政策及本基金的《基金合同》或公司《业务规则》等使公司无法执行的，公司可不执行并对此不承担法律责任。</w:t>
      </w:r>
    </w:p>
    <w:p w14:paraId="2047C2DA">
      <w:pPr>
        <w:pStyle w:val="17"/>
        <w:numPr>
          <w:ilvl w:val="0"/>
          <w:numId w:val="3"/>
        </w:numPr>
        <w:spacing w:line="296" w:lineRule="exact"/>
        <w:ind w:left="420" w:firstLineChars="0"/>
        <w:jc w:val="both"/>
        <w:rPr>
          <w:b/>
          <w:sz w:val="18"/>
          <w:szCs w:val="18"/>
        </w:rPr>
      </w:pPr>
      <w:r>
        <w:rPr>
          <w:rFonts w:hint="eastAsia" w:ascii="宋体" w:hAnsi="宋体" w:eastAsia="宋体" w:cs="宋体"/>
          <w:sz w:val="18"/>
          <w:szCs w:val="18"/>
        </w:rPr>
        <w:t>非公司原因或因不可抗力给投资者造成的损失，本公司不承担责任。</w:t>
      </w:r>
    </w:p>
    <w:sectPr>
      <w:headerReference r:id="rId5" w:type="first"/>
      <w:footerReference r:id="rId8" w:type="first"/>
      <w:headerReference r:id="rId3" w:type="default"/>
      <w:footerReference r:id="rId6" w:type="default"/>
      <w:headerReference r:id="rId4" w:type="even"/>
      <w:footerReference r:id="rId7" w:type="even"/>
      <w:pgSz w:w="11907" w:h="16839"/>
      <w:pgMar w:top="720" w:right="720" w:bottom="266" w:left="720" w:header="227" w:footer="0"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B5B8E">
    <w:pPr>
      <w:pStyle w:val="8"/>
    </w:pPr>
  </w:p>
  <w:p w14:paraId="4435BADE">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7D5B2">
    <w:pPr>
      <w:pStyle w:val="8"/>
    </w:pPr>
    <w:r>
      <w:rPr>
        <w:rFonts w:hint="eastAsia"/>
      </w:rPr>
      <w:t>经办人：</w:t>
    </w:r>
    <w:r>
      <w:rPr>
        <w:rFonts w:hint="eastAsia"/>
      </w:rPr>
      <w:tab/>
    </w:r>
    <w:r>
      <w:rPr>
        <w:rFonts w:hint="eastAsia"/>
      </w:rPr>
      <w:t>复核人：</w:t>
    </w:r>
    <w:r>
      <w:rPr>
        <w:rFonts w:hint="eastAsia"/>
      </w:rPr>
      <w:tab/>
    </w:r>
    <w:r>
      <w:rPr>
        <w:rFonts w:hint="eastAsia"/>
      </w:rPr>
      <w:t>直销网点章：</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7EC78">
    <w:pPr>
      <w:tabs>
        <w:tab w:val="left" w:pos="8797"/>
      </w:tabs>
      <w:spacing w:line="240" w:lineRule="auto"/>
      <w:ind w:left="0" w:leftChars="0"/>
      <w:rPr>
        <w:rFonts w:hint="eastAsia" w:eastAsiaTheme="minorEastAsia"/>
        <w:b/>
        <w:szCs w:val="21"/>
        <w:lang w:eastAsia="zh-CN"/>
      </w:rPr>
    </w:pPr>
    <w:r>
      <w:rPr>
        <w:rFonts w:hint="eastAsia"/>
        <w:b/>
        <w:szCs w:val="21"/>
        <w:lang w:eastAsia="zh-CN"/>
      </w:rPr>
      <w:tab/>
    </w:r>
  </w:p>
  <w:p w14:paraId="3D16C659">
    <w:pPr>
      <w:ind w:left="0" w:leftChars="0" w:firstLine="0" w:firstLineChars="0"/>
      <w:rPr>
        <w:b/>
        <w:sz w:val="18"/>
        <w:szCs w:val="18"/>
      </w:rPr>
    </w:pPr>
    <w:r>
      <w:rPr>
        <w:rFonts w:hint="eastAsia"/>
        <w:b/>
        <w:sz w:val="18"/>
        <w:szCs w:val="18"/>
      </w:rPr>
      <w:t>地址：</w:t>
    </w:r>
    <w:r>
      <w:rPr>
        <w:rFonts w:hint="eastAsia" w:asciiTheme="minorHAnsi" w:hAnsiTheme="minorHAnsi" w:eastAsiaTheme="minorEastAsia" w:cstheme="minorBidi"/>
        <w:b/>
        <w:sz w:val="18"/>
        <w:szCs w:val="18"/>
        <w:lang w:eastAsia="zh-CN"/>
      </w:rPr>
      <w:t>上海市浦东新区银城中路</w:t>
    </w:r>
    <w:r>
      <w:rPr>
        <w:rFonts w:hint="eastAsia"/>
        <w:b/>
        <w:sz w:val="18"/>
        <w:szCs w:val="18"/>
        <w:lang w:val="en-US"/>
      </w:rPr>
      <w:t>488</w:t>
    </w:r>
    <w:r>
      <w:rPr>
        <w:rFonts w:hint="eastAsia" w:asciiTheme="minorHAnsi" w:hAnsiTheme="minorHAnsi" w:eastAsiaTheme="minorEastAsia" w:cstheme="minorBidi"/>
        <w:b/>
        <w:sz w:val="18"/>
        <w:szCs w:val="18"/>
        <w:lang w:eastAsia="zh-CN"/>
      </w:rPr>
      <w:t>号太平金融大厦</w:t>
    </w:r>
    <w:r>
      <w:rPr>
        <w:rFonts w:hint="eastAsia"/>
        <w:b/>
        <w:sz w:val="18"/>
        <w:szCs w:val="18"/>
        <w:lang w:val="en-US"/>
      </w:rPr>
      <w:t>7F</w:t>
    </w:r>
    <w:r>
      <w:rPr>
        <w:rFonts w:hint="eastAsia"/>
        <w:b/>
        <w:sz w:val="18"/>
        <w:szCs w:val="18"/>
      </w:rPr>
      <w:t xml:space="preserve">      </w:t>
    </w:r>
    <w:r>
      <w:rPr>
        <w:b/>
        <w:sz w:val="18"/>
        <w:szCs w:val="18"/>
      </w:rPr>
      <w:t xml:space="preserve">      </w:t>
    </w:r>
    <w:r>
      <w:rPr>
        <w:rFonts w:hint="eastAsia"/>
        <w:b/>
        <w:sz w:val="18"/>
        <w:szCs w:val="18"/>
        <w:lang w:val="en-US" w:eastAsia="zh-CN"/>
      </w:rPr>
      <w:t xml:space="preserve">                                 </w:t>
    </w:r>
    <w:r>
      <w:rPr>
        <w:b/>
        <w:sz w:val="18"/>
        <w:szCs w:val="18"/>
      </w:rPr>
      <w:t xml:space="preserve">         </w:t>
    </w:r>
    <w:r>
      <w:rPr>
        <w:rFonts w:hint="eastAsia"/>
        <w:b/>
        <w:sz w:val="18"/>
        <w:szCs w:val="18"/>
      </w:rPr>
      <w:t xml:space="preserve"> 邮编：200120</w:t>
    </w:r>
  </w:p>
  <w:p w14:paraId="426F9D00">
    <w:pPr>
      <w:spacing w:line="240" w:lineRule="auto"/>
      <w:ind w:left="0" w:leftChars="0" w:firstLine="0" w:firstLineChars="0"/>
      <w:rPr>
        <w:rFonts w:hint="eastAsia"/>
        <w:b/>
        <w:sz w:val="18"/>
        <w:szCs w:val="18"/>
      </w:rPr>
    </w:pPr>
    <w:r>
      <w:rPr>
        <w:rFonts w:hint="eastAsia"/>
        <w:b/>
        <w:sz w:val="18"/>
        <w:szCs w:val="18"/>
      </w:rPr>
      <w:t xml:space="preserve">传真：021-3855 6751（直销）                  </w:t>
    </w:r>
    <w:r>
      <w:rPr>
        <w:b/>
        <w:sz w:val="18"/>
        <w:szCs w:val="18"/>
      </w:rPr>
      <w:t xml:space="preserve">    </w:t>
    </w:r>
    <w:r>
      <w:rPr>
        <w:rFonts w:hint="eastAsia"/>
        <w:b/>
        <w:sz w:val="18"/>
        <w:szCs w:val="18"/>
        <w:lang w:val="en-US" w:eastAsia="zh-CN"/>
      </w:rPr>
      <w:t xml:space="preserve">                     </w:t>
    </w:r>
    <w:r>
      <w:rPr>
        <w:b/>
        <w:sz w:val="18"/>
        <w:szCs w:val="18"/>
      </w:rPr>
      <w:t xml:space="preserve">   </w:t>
    </w:r>
    <w:r>
      <w:rPr>
        <w:rFonts w:hint="eastAsia"/>
        <w:b/>
        <w:sz w:val="18"/>
        <w:szCs w:val="18"/>
      </w:rPr>
      <w:t xml:space="preserve"> 邮箱：</w:t>
    </w:r>
    <w:r>
      <w:rPr>
        <w:b/>
        <w:sz w:val="18"/>
        <w:szCs w:val="18"/>
        <w:u w:val="none"/>
      </w:rPr>
      <w:fldChar w:fldCharType="begin"/>
    </w:r>
    <w:r>
      <w:rPr>
        <w:b/>
        <w:sz w:val="18"/>
        <w:szCs w:val="18"/>
        <w:u w:val="none"/>
      </w:rPr>
      <w:instrText xml:space="preserve"> HYPERLINK "mailto:direct-selling@taipingfund.com.cn" </w:instrText>
    </w:r>
    <w:r>
      <w:rPr>
        <w:b/>
        <w:sz w:val="18"/>
        <w:szCs w:val="18"/>
        <w:u w:val="none"/>
      </w:rPr>
      <w:fldChar w:fldCharType="separate"/>
    </w:r>
    <w:r>
      <w:rPr>
        <w:rStyle w:val="13"/>
        <w:b/>
        <w:color w:val="auto"/>
        <w:sz w:val="18"/>
        <w:szCs w:val="18"/>
        <w:u w:val="none"/>
      </w:rPr>
      <w:t>direct-selling@taipingfund.com.cn</w:t>
    </w:r>
    <w:r>
      <w:rPr>
        <w:b/>
        <w:sz w:val="18"/>
        <w:szCs w:val="18"/>
        <w:u w:val="none"/>
      </w:rPr>
      <w:fldChar w:fldCharType="end"/>
    </w:r>
    <w:r>
      <w:rPr>
        <w:rFonts w:hint="eastAsia"/>
        <w:b/>
        <w:sz w:val="18"/>
        <w:szCs w:val="18"/>
      </w:rPr>
      <w:t>（直销）</w:t>
    </w:r>
  </w:p>
  <w:p w14:paraId="5EB917FF">
    <w:pPr>
      <w:spacing w:line="240" w:lineRule="auto"/>
      <w:ind w:left="0" w:leftChars="0" w:firstLine="0" w:firstLineChars="0"/>
      <w:rPr>
        <w:b/>
        <w:sz w:val="18"/>
        <w:szCs w:val="18"/>
      </w:rPr>
    </w:pPr>
    <w:r>
      <w:rPr>
        <w:rFonts w:hint="eastAsia"/>
        <w:b/>
        <w:sz w:val="18"/>
        <w:szCs w:val="18"/>
      </w:rPr>
      <w:t xml:space="preserve">联系电话：021-3855 6789（直销中心） </w:t>
    </w:r>
    <w:r>
      <w:rPr>
        <w:b/>
        <w:sz w:val="18"/>
        <w:szCs w:val="18"/>
      </w:rPr>
      <w:t xml:space="preserve">    </w:t>
    </w:r>
    <w:r>
      <w:rPr>
        <w:rFonts w:hint="eastAsia"/>
        <w:b/>
        <w:sz w:val="18"/>
        <w:szCs w:val="18"/>
        <w:lang w:val="en-US" w:eastAsia="zh-CN"/>
      </w:rPr>
      <w:t xml:space="preserve">          </w:t>
    </w:r>
    <w:r>
      <w:rPr>
        <w:b/>
        <w:sz w:val="18"/>
        <w:szCs w:val="18"/>
      </w:rPr>
      <w:t xml:space="preserve"> </w:t>
    </w:r>
    <w:r>
      <w:rPr>
        <w:rFonts w:hint="eastAsia"/>
        <w:b/>
        <w:sz w:val="18"/>
        <w:szCs w:val="18"/>
      </w:rPr>
      <w:t xml:space="preserve">  </w:t>
    </w:r>
    <w:r>
      <w:rPr>
        <w:b/>
        <w:sz w:val="18"/>
        <w:szCs w:val="18"/>
      </w:rPr>
      <w:t xml:space="preserve"> </w:t>
    </w:r>
    <w:r>
      <w:rPr>
        <w:rFonts w:hint="eastAsia" w:asciiTheme="minorHAnsi" w:hAnsiTheme="minorHAnsi" w:eastAsiaTheme="minorEastAsia" w:cstheme="minorBidi"/>
        <w:b/>
        <w:i w:val="0"/>
        <w:caps w:val="0"/>
        <w:color w:val="auto"/>
        <w:spacing w:val="0"/>
        <w:sz w:val="18"/>
        <w:szCs w:val="18"/>
        <w:shd w:val="clear" w:fill="auto"/>
      </w:rPr>
      <w:t>4</w:t>
    </w:r>
    <w:r>
      <w:rPr>
        <w:rFonts w:hint="default" w:asciiTheme="minorHAnsi" w:hAnsiTheme="minorHAnsi" w:eastAsiaTheme="minorEastAsia" w:cstheme="minorBidi"/>
        <w:b/>
        <w:i w:val="0"/>
        <w:caps w:val="0"/>
        <w:color w:val="auto"/>
        <w:spacing w:val="0"/>
        <w:sz w:val="18"/>
        <w:szCs w:val="18"/>
        <w:shd w:val="clear" w:fill="auto"/>
      </w:rPr>
      <w:t>00-028-8699</w:t>
    </w:r>
    <w:r>
      <w:rPr>
        <w:rFonts w:hint="eastAsia"/>
        <w:b/>
        <w:sz w:val="18"/>
        <w:szCs w:val="18"/>
      </w:rPr>
      <w:t xml:space="preserve">（客服） </w:t>
    </w:r>
    <w:r>
      <w:rPr>
        <w:rFonts w:hint="eastAsia"/>
        <w:b/>
        <w:sz w:val="18"/>
        <w:szCs w:val="18"/>
        <w:lang w:val="en-US" w:eastAsia="zh-CN"/>
      </w:rPr>
      <w:t xml:space="preserve">            </w:t>
    </w:r>
    <w:r>
      <w:rPr>
        <w:rFonts w:hint="eastAsia"/>
        <w:b/>
        <w:sz w:val="18"/>
        <w:szCs w:val="18"/>
      </w:rPr>
      <w:t xml:space="preserve">  </w:t>
    </w:r>
    <w:r>
      <w:rPr>
        <w:b/>
        <w:sz w:val="18"/>
        <w:szCs w:val="18"/>
      </w:rPr>
      <w:t xml:space="preserve">         </w:t>
    </w:r>
    <w:r>
      <w:rPr>
        <w:rFonts w:hint="eastAsia"/>
        <w:b/>
        <w:sz w:val="18"/>
        <w:szCs w:val="18"/>
      </w:rPr>
      <w:t>021-3855 6666（总机）</w:t>
    </w:r>
  </w:p>
  <w:p w14:paraId="1805D1AA">
    <w:pPr>
      <w:pStyle w:val="8"/>
      <w:rPr>
        <w:rFonts w:hint="eastAsia"/>
      </w:rPr>
    </w:pPr>
  </w:p>
  <w:p w14:paraId="411EEF30">
    <w:pPr>
      <w:pStyle w:val="8"/>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3AE3F">
    <w:pPr>
      <w:pStyle w:val="9"/>
      <w:rPr>
        <w:b/>
      </w:rPr>
    </w:pPr>
    <w:r>
      <w:rPr>
        <w:rFonts w:hint="eastAsia"/>
        <w:b/>
      </w:rPr>
      <w:t>太平基金管理有限公司</w:t>
    </w:r>
    <w:r>
      <w:rPr>
        <w:b/>
      </w:rPr>
      <w:ptab w:relativeTo="margin" w:alignment="right" w:leader="none"/>
    </w:r>
  </w:p>
  <w:p w14:paraId="5F238A8A">
    <w:pPr>
      <w:pStyle w:val="9"/>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EF5DB">
    <w:pPr>
      <w:pStyle w:val="9"/>
      <w:rPr>
        <w:b/>
      </w:rPr>
    </w:pPr>
    <w:r>
      <w:rPr>
        <w:rFonts w:hint="eastAsia"/>
        <w:b/>
      </w:rPr>
      <w:t>太平基金管理有限公司第二联 客户留存</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C55F8">
    <w:pPr>
      <w:pStyle w:val="9"/>
    </w:pPr>
    <w:r>
      <w:rPr>
        <w:rFonts w:ascii="微软雅黑" w:hAnsi="微软雅黑" w:eastAsia="微软雅黑"/>
        <w:color w:val="365F91"/>
      </w:rPr>
      <w:fldChar w:fldCharType="begin"/>
    </w:r>
    <w:r>
      <w:instrText xml:space="preserve"> INCLUDEPICTURE "R:\\市场销售部new\\客服部文件\\直销柜台\\直销柜台公盘文件\\制度与表单\\最新规则及表单\\机构开户业务规则及表单\\cid:image003.png@01D2C998.6F9A7090" \* MERGEFORMAT </w:instrText>
    </w:r>
    <w:r>
      <w:rPr>
        <w:rFonts w:ascii="微软雅黑" w:hAnsi="微软雅黑" w:eastAsia="微软雅黑"/>
        <w:color w:val="365F91"/>
      </w:rPr>
      <w:fldChar w:fldCharType="separate"/>
    </w:r>
    <w:r>
      <w:rPr>
        <w:rFonts w:ascii="微软雅黑" w:hAnsi="微软雅黑" w:eastAsia="微软雅黑"/>
        <w:color w:val="365F91"/>
      </w:rPr>
      <w:fldChar w:fldCharType="begin"/>
    </w:r>
    <w:r>
      <w:instrText xml:space="preserve"> INCLUDEPICTURE "R:\\市场销售部new\\客服部文件\\直销柜台\\直销柜台公盘文件\\制度与表单\\最新规则及表单\\机构开户业务规则及表单\\cid:image003.png@01D2C998.6F9A7090" \* MERGEFORMAT </w:instrText>
    </w:r>
    <w:r>
      <w:rPr>
        <w:rFonts w:ascii="微软雅黑" w:hAnsi="微软雅黑" w:eastAsia="微软雅黑"/>
        <w:color w:val="365F91"/>
      </w:rPr>
      <w:fldChar w:fldCharType="separate"/>
    </w:r>
    <w:r>
      <w:rPr>
        <w:rFonts w:ascii="微软雅黑" w:hAnsi="微软雅黑" w:eastAsia="微软雅黑"/>
        <w:color w:val="365F91"/>
      </w:rPr>
      <w:fldChar w:fldCharType="begin"/>
    </w:r>
    <w:r>
      <w:instrText xml:space="preserve"> INCLUDEPICTURE "R:\\市场销售部new\\客服部文件\\直销柜台\\直销柜台公盘文件\\制度与表单\\最新规则及表单\\机构开户业务规则及表单\\cid:image003.png@01D2C998.6F9A7090" \* MERGEFORMAT </w:instrText>
    </w:r>
    <w:r>
      <w:rPr>
        <w:rFonts w:ascii="微软雅黑" w:hAnsi="微软雅黑" w:eastAsia="微软雅黑"/>
        <w:color w:val="365F91"/>
      </w:rPr>
      <w:fldChar w:fldCharType="separate"/>
    </w:r>
    <w:r>
      <w:rPr>
        <w:rFonts w:ascii="微软雅黑" w:hAnsi="微软雅黑" w:eastAsia="微软雅黑"/>
        <w:color w:val="365F91"/>
      </w:rPr>
      <w:fldChar w:fldCharType="begin"/>
    </w:r>
    <w:r>
      <w:instrText xml:space="preserve"> INCLUDEPICTURE "R:\\市场销售部new\\客服部文件\\直销柜台\\直销柜台公盘文件\\制度与表单\\最新规则及表单\\机构开户业务规则及表单\\cid:image003.png@01D2C998.6F9A7090" \* MERGEFORMAT </w:instrText>
    </w:r>
    <w:r>
      <w:rPr>
        <w:rFonts w:ascii="微软雅黑" w:hAnsi="微软雅黑" w:eastAsia="微软雅黑"/>
        <w:color w:val="365F91"/>
      </w:rPr>
      <w:fldChar w:fldCharType="separate"/>
    </w:r>
    <w:r>
      <w:rPr>
        <w:rFonts w:ascii="微软雅黑" w:hAnsi="微软雅黑" w:eastAsia="微软雅黑"/>
        <w:color w:val="365F91"/>
      </w:rPr>
      <w:fldChar w:fldCharType="begin"/>
    </w:r>
    <w:r>
      <w:instrText xml:space="preserve"> INCLUDEPICTURE "R:\\市场销售部new\\客服部文件\\直销柜台\\直销柜台公盘文件\\制度与表单\\最新规则及表单\\机构开户业务规则及表单\\cid:image003.png@01D2C998.6F9A7090" \* MERGEFORMAT </w:instrText>
    </w:r>
    <w:r>
      <w:rPr>
        <w:rFonts w:ascii="微软雅黑" w:hAnsi="微软雅黑" w:eastAsia="微软雅黑"/>
        <w:color w:val="365F91"/>
      </w:rPr>
      <w:fldChar w:fldCharType="separate"/>
    </w:r>
    <w:r>
      <w:rPr>
        <w:rFonts w:ascii="微软雅黑" w:hAnsi="微软雅黑" w:eastAsia="微软雅黑"/>
        <w:color w:val="365F91"/>
      </w:rPr>
      <w:fldChar w:fldCharType="begin"/>
    </w:r>
    <w:r>
      <w:instrText xml:space="preserve"> INCLUDEPICTURE "R:\\市场销售部new\\客服部文件\\直销柜台\\直销柜台公盘文件\\制度与表单\\最新规则及表单\\机构开户业务规则及表单\\cid:image003.png@01D2C998.6F9A7090" \* MERGEFORMAT </w:instrText>
    </w:r>
    <w:r>
      <w:rPr>
        <w:rFonts w:ascii="微软雅黑" w:hAnsi="微软雅黑" w:eastAsia="微软雅黑"/>
        <w:color w:val="365F91"/>
      </w:rPr>
      <w:fldChar w:fldCharType="separate"/>
    </w:r>
    <w:r>
      <w:rPr>
        <w:rFonts w:ascii="微软雅黑" w:hAnsi="微软雅黑" w:eastAsia="微软雅黑"/>
        <w:color w:val="365F91"/>
      </w:rPr>
      <w:fldChar w:fldCharType="begin"/>
    </w:r>
    <w:r>
      <w:instrText xml:space="preserve"> INCLUDEPICTURE "R:\\市场销售部new\\客服部文件\\直销柜台\\直销柜台公盘文件\\制度与表单\\最新规则及表单\\机构开户业务规则及表单\\cid:image003.png@01D2C998.6F9A7090" \* MERGEFORMAT </w:instrText>
    </w:r>
    <w:r>
      <w:rPr>
        <w:rFonts w:ascii="微软雅黑" w:hAnsi="微软雅黑" w:eastAsia="微软雅黑"/>
        <w:color w:val="365F91"/>
      </w:rPr>
      <w:fldChar w:fldCharType="separate"/>
    </w:r>
    <w:r>
      <w:rPr>
        <w:rFonts w:ascii="微软雅黑" w:hAnsi="微软雅黑" w:eastAsia="微软雅黑"/>
        <w:color w:val="365F91"/>
      </w:rPr>
      <w:pict>
        <v:shape id="_x0000_i1025" o:spt="75" alt="说明: 说明: logo组合彩色（太平+基金）_复制-01" type="#_x0000_t75" style="height:18.75pt;width:172.5pt;" filled="f" o:preferrelative="t" stroked="f" coordsize="21600,21600">
          <v:path/>
          <v:fill on="f" focussize="0,0"/>
          <v:stroke on="f" joinstyle="miter"/>
          <v:imagedata r:id="rId1" r:href="rId2" o:title=""/>
          <o:lock v:ext="edit" aspectratio="t"/>
          <w10:wrap type="none"/>
          <w10:anchorlock/>
        </v:shape>
      </w:pict>
    </w:r>
    <w:r>
      <w:rPr>
        <w:rFonts w:ascii="微软雅黑" w:hAnsi="微软雅黑" w:eastAsia="微软雅黑"/>
        <w:color w:val="365F91"/>
      </w:rPr>
      <w:fldChar w:fldCharType="end"/>
    </w:r>
    <w:r>
      <w:rPr>
        <w:rFonts w:ascii="微软雅黑" w:hAnsi="微软雅黑" w:eastAsia="微软雅黑"/>
        <w:color w:val="365F91"/>
      </w:rPr>
      <w:fldChar w:fldCharType="end"/>
    </w:r>
    <w:r>
      <w:rPr>
        <w:rFonts w:ascii="微软雅黑" w:hAnsi="微软雅黑" w:eastAsia="微软雅黑"/>
        <w:color w:val="365F91"/>
      </w:rPr>
      <w:fldChar w:fldCharType="end"/>
    </w:r>
    <w:r>
      <w:rPr>
        <w:rFonts w:ascii="微软雅黑" w:hAnsi="微软雅黑" w:eastAsia="微软雅黑"/>
        <w:color w:val="365F91"/>
      </w:rPr>
      <w:fldChar w:fldCharType="end"/>
    </w:r>
    <w:r>
      <w:rPr>
        <w:rFonts w:ascii="微软雅黑" w:hAnsi="微软雅黑" w:eastAsia="微软雅黑"/>
        <w:color w:val="365F91"/>
      </w:rPr>
      <w:fldChar w:fldCharType="end"/>
    </w:r>
    <w:r>
      <w:rPr>
        <w:rFonts w:ascii="微软雅黑" w:hAnsi="微软雅黑" w:eastAsia="微软雅黑"/>
        <w:color w:val="365F91"/>
      </w:rPr>
      <w:fldChar w:fldCharType="end"/>
    </w:r>
    <w:r>
      <w:rPr>
        <w:rFonts w:ascii="微软雅黑" w:hAnsi="微软雅黑" w:eastAsia="微软雅黑"/>
        <w:color w:val="365F91"/>
      </w:rPr>
      <w:fldChar w:fldCharType="end"/>
    </w:r>
    <w:r>
      <w:rPr>
        <w:b/>
      </w:rPr>
      <w:ptab w:relativeTo="margin" w:alignment="right" w:leader="none"/>
    </w:r>
    <w:r>
      <w:rPr>
        <w:rFonts w:hint="eastAsia"/>
        <w:b/>
        <w:sz w:val="21"/>
        <w:szCs w:val="21"/>
      </w:rPr>
      <w:t>电子交易</w:t>
    </w:r>
    <w:r>
      <w:rPr>
        <w:rFonts w:hint="eastAsia"/>
        <w:b/>
        <w:sz w:val="21"/>
        <w:szCs w:val="21"/>
        <w:lang w:val="en-US" w:eastAsia="zh-CN"/>
      </w:rPr>
      <w:t>及网上交易</w:t>
    </w:r>
    <w:r>
      <w:rPr>
        <w:rFonts w:hint="eastAsia"/>
        <w:b/>
        <w:sz w:val="21"/>
        <w:szCs w:val="21"/>
      </w:rPr>
      <w:t>申请函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EB4A16"/>
    <w:multiLevelType w:val="multilevel"/>
    <w:tmpl w:val="C1EB4A16"/>
    <w:lvl w:ilvl="0" w:tentative="0">
      <w:start w:val="1"/>
      <w:numFmt w:val="decimal"/>
      <w:lvlText w:val="%1、"/>
      <w:lvlJc w:val="left"/>
      <w:pPr>
        <w:ind w:left="420" w:leftChars="0" w:hanging="42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120269C"/>
    <w:multiLevelType w:val="multilevel"/>
    <w:tmpl w:val="4120269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B0943F0"/>
    <w:multiLevelType w:val="multilevel"/>
    <w:tmpl w:val="4B0943F0"/>
    <w:lvl w:ilvl="0" w:tentative="0">
      <w:start w:val="1"/>
      <w:numFmt w:val="decimal"/>
      <w:lvlText w:val="%1、"/>
      <w:lvlJc w:val="left"/>
      <w:pPr>
        <w:ind w:left="420" w:leftChars="0" w:hanging="420" w:firstLineChars="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89"/>
  <w:bordersDoNotSurroundHeader w:val="0"/>
  <w:bordersDoNotSurroundFooter w:val="0"/>
  <w:revisionView w:markup="0"/>
  <w:documentProtection w:edit="readOnly" w:formatting="1" w:enforcement="1" w:cryptProviderType="rsaFull" w:cryptAlgorithmClass="hash" w:cryptAlgorithmType="typeAny" w:cryptAlgorithmSid="4" w:cryptSpinCount="0" w:hash="5BV9XF1eedTyGT1rt0GMEN0xLns=" w:salt="1uL6jeVHrPKBrmRl6KSIkg=="/>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8B6"/>
    <w:rsid w:val="000163F7"/>
    <w:rsid w:val="00041C3A"/>
    <w:rsid w:val="00063639"/>
    <w:rsid w:val="000A07B1"/>
    <w:rsid w:val="000B7EBA"/>
    <w:rsid w:val="000C0313"/>
    <w:rsid w:val="000C15AF"/>
    <w:rsid w:val="000F2570"/>
    <w:rsid w:val="000F388D"/>
    <w:rsid w:val="000F7F05"/>
    <w:rsid w:val="00121ABB"/>
    <w:rsid w:val="0013539E"/>
    <w:rsid w:val="00150BB1"/>
    <w:rsid w:val="001560FE"/>
    <w:rsid w:val="00195097"/>
    <w:rsid w:val="001B5C5A"/>
    <w:rsid w:val="001C6D89"/>
    <w:rsid w:val="001E4587"/>
    <w:rsid w:val="001F748F"/>
    <w:rsid w:val="00245CAB"/>
    <w:rsid w:val="00252A11"/>
    <w:rsid w:val="0028487F"/>
    <w:rsid w:val="002B2693"/>
    <w:rsid w:val="002C6CB4"/>
    <w:rsid w:val="002F6575"/>
    <w:rsid w:val="00320721"/>
    <w:rsid w:val="0035637B"/>
    <w:rsid w:val="003630AC"/>
    <w:rsid w:val="003A7412"/>
    <w:rsid w:val="003D325E"/>
    <w:rsid w:val="003E6AA5"/>
    <w:rsid w:val="00414F5F"/>
    <w:rsid w:val="00442D04"/>
    <w:rsid w:val="00456F8B"/>
    <w:rsid w:val="00476755"/>
    <w:rsid w:val="00487E70"/>
    <w:rsid w:val="00490E7C"/>
    <w:rsid w:val="004943D5"/>
    <w:rsid w:val="004B6EF9"/>
    <w:rsid w:val="004F5A70"/>
    <w:rsid w:val="00597AB0"/>
    <w:rsid w:val="005A69FB"/>
    <w:rsid w:val="005C7C7C"/>
    <w:rsid w:val="005D0CF3"/>
    <w:rsid w:val="005E5597"/>
    <w:rsid w:val="005F3AFC"/>
    <w:rsid w:val="006123C0"/>
    <w:rsid w:val="006404EB"/>
    <w:rsid w:val="0064607E"/>
    <w:rsid w:val="00652955"/>
    <w:rsid w:val="0069065A"/>
    <w:rsid w:val="006B05A7"/>
    <w:rsid w:val="006C359E"/>
    <w:rsid w:val="007072EC"/>
    <w:rsid w:val="00740B94"/>
    <w:rsid w:val="00743A16"/>
    <w:rsid w:val="00754D4D"/>
    <w:rsid w:val="007610F7"/>
    <w:rsid w:val="007B7693"/>
    <w:rsid w:val="00806B4E"/>
    <w:rsid w:val="00817A68"/>
    <w:rsid w:val="00824133"/>
    <w:rsid w:val="00871754"/>
    <w:rsid w:val="00897C28"/>
    <w:rsid w:val="008E62B1"/>
    <w:rsid w:val="0091427C"/>
    <w:rsid w:val="00921D4E"/>
    <w:rsid w:val="0096595B"/>
    <w:rsid w:val="009C6F7C"/>
    <w:rsid w:val="009F232F"/>
    <w:rsid w:val="009F71B5"/>
    <w:rsid w:val="00A106DB"/>
    <w:rsid w:val="00A3720C"/>
    <w:rsid w:val="00A5165F"/>
    <w:rsid w:val="00A55465"/>
    <w:rsid w:val="00A80EC1"/>
    <w:rsid w:val="00A84DE3"/>
    <w:rsid w:val="00AE1AA9"/>
    <w:rsid w:val="00B31ABC"/>
    <w:rsid w:val="00B36435"/>
    <w:rsid w:val="00BA6EF0"/>
    <w:rsid w:val="00BC1001"/>
    <w:rsid w:val="00C35ECA"/>
    <w:rsid w:val="00C86819"/>
    <w:rsid w:val="00C9040D"/>
    <w:rsid w:val="00C96D2D"/>
    <w:rsid w:val="00CA487D"/>
    <w:rsid w:val="00CE2DC6"/>
    <w:rsid w:val="00D00E0B"/>
    <w:rsid w:val="00D0549F"/>
    <w:rsid w:val="00D40257"/>
    <w:rsid w:val="00D719B3"/>
    <w:rsid w:val="00D766DF"/>
    <w:rsid w:val="00D818B6"/>
    <w:rsid w:val="00D9513A"/>
    <w:rsid w:val="00DA09F3"/>
    <w:rsid w:val="00DA7988"/>
    <w:rsid w:val="00DB3773"/>
    <w:rsid w:val="00DC0780"/>
    <w:rsid w:val="00E25556"/>
    <w:rsid w:val="00E30169"/>
    <w:rsid w:val="00E51CBD"/>
    <w:rsid w:val="00E57B6E"/>
    <w:rsid w:val="00E57F74"/>
    <w:rsid w:val="00EC1B79"/>
    <w:rsid w:val="00ED793E"/>
    <w:rsid w:val="00F323AE"/>
    <w:rsid w:val="00F40252"/>
    <w:rsid w:val="08687FE8"/>
    <w:rsid w:val="0BCE61AC"/>
    <w:rsid w:val="139E0D1C"/>
    <w:rsid w:val="202F4505"/>
    <w:rsid w:val="22EC1AEA"/>
    <w:rsid w:val="25F408CA"/>
    <w:rsid w:val="2DA3357C"/>
    <w:rsid w:val="2F110BB1"/>
    <w:rsid w:val="38C126FF"/>
    <w:rsid w:val="3CAE6CFA"/>
    <w:rsid w:val="409B2D8C"/>
    <w:rsid w:val="494616A5"/>
    <w:rsid w:val="58661294"/>
    <w:rsid w:val="58C010B2"/>
    <w:rsid w:val="5FC135C9"/>
    <w:rsid w:val="6558008C"/>
    <w:rsid w:val="6A385E52"/>
    <w:rsid w:val="742F04E3"/>
    <w:rsid w:val="788D434B"/>
    <w:rsid w:val="7C7B31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9"/>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5">
    <w:name w:val="Body Text"/>
    <w:basedOn w:val="1"/>
    <w:semiHidden/>
    <w:qFormat/>
    <w:uiPriority w:val="0"/>
    <w:rPr>
      <w:rFonts w:ascii="宋体" w:hAnsi="宋体" w:eastAsia="宋体" w:cs="宋体"/>
      <w:sz w:val="18"/>
      <w:szCs w:val="18"/>
      <w:lang w:val="en-US" w:eastAsia="en-US" w:bidi="ar-SA"/>
    </w:rPr>
  </w:style>
  <w:style w:type="paragraph" w:styleId="6">
    <w:name w:val="Plain Text"/>
    <w:basedOn w:val="1"/>
    <w:link w:val="22"/>
    <w:semiHidden/>
    <w:unhideWhenUsed/>
    <w:qFormat/>
    <w:uiPriority w:val="99"/>
    <w:pPr>
      <w:keepNext w:val="0"/>
      <w:keepLines w:val="0"/>
      <w:widowControl w:val="0"/>
      <w:suppressLineNumbers w:val="0"/>
      <w:spacing w:before="0" w:beforeAutospacing="0" w:after="0" w:afterAutospacing="0"/>
      <w:ind w:left="0" w:right="0"/>
      <w:jc w:val="left"/>
    </w:pPr>
    <w:rPr>
      <w:rFonts w:hint="default" w:ascii="Calibri" w:hAnsi="Courier New" w:eastAsia="宋体" w:cs="Courier New"/>
      <w:kern w:val="2"/>
      <w:sz w:val="21"/>
      <w:szCs w:val="21"/>
      <w:lang w:val="en-US" w:eastAsia="zh-CN" w:bidi="ar"/>
    </w:rPr>
  </w:style>
  <w:style w:type="paragraph" w:styleId="7">
    <w:name w:val="Balloon Text"/>
    <w:basedOn w:val="1"/>
    <w:link w:val="16"/>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character" w:customStyle="1" w:styleId="14">
    <w:name w:val="页眉 Char"/>
    <w:basedOn w:val="12"/>
    <w:link w:val="9"/>
    <w:qFormat/>
    <w:uiPriority w:val="99"/>
    <w:rPr>
      <w:sz w:val="18"/>
      <w:szCs w:val="18"/>
    </w:rPr>
  </w:style>
  <w:style w:type="character" w:customStyle="1" w:styleId="15">
    <w:name w:val="页脚 Char"/>
    <w:basedOn w:val="12"/>
    <w:link w:val="8"/>
    <w:qFormat/>
    <w:uiPriority w:val="99"/>
    <w:rPr>
      <w:sz w:val="18"/>
      <w:szCs w:val="18"/>
    </w:rPr>
  </w:style>
  <w:style w:type="character" w:customStyle="1" w:styleId="16">
    <w:name w:val="批注框文本 Char"/>
    <w:basedOn w:val="12"/>
    <w:link w:val="7"/>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标题 2 Char"/>
    <w:basedOn w:val="12"/>
    <w:link w:val="3"/>
    <w:qFormat/>
    <w:uiPriority w:val="9"/>
    <w:rPr>
      <w:rFonts w:asciiTheme="majorHAnsi" w:hAnsiTheme="majorHAnsi" w:eastAsiaTheme="majorEastAsia" w:cstheme="majorBidi"/>
      <w:b/>
      <w:bCs/>
      <w:sz w:val="32"/>
      <w:szCs w:val="32"/>
    </w:rPr>
  </w:style>
  <w:style w:type="character" w:customStyle="1" w:styleId="19">
    <w:name w:val="标题 3 Char"/>
    <w:basedOn w:val="12"/>
    <w:link w:val="4"/>
    <w:qFormat/>
    <w:uiPriority w:val="9"/>
    <w:rPr>
      <w:b/>
      <w:bCs/>
      <w:sz w:val="32"/>
      <w:szCs w:val="32"/>
    </w:rPr>
  </w:style>
  <w:style w:type="character" w:customStyle="1" w:styleId="20">
    <w:name w:val="标题 1 Char"/>
    <w:basedOn w:val="12"/>
    <w:link w:val="2"/>
    <w:qFormat/>
    <w:uiPriority w:val="9"/>
    <w:rPr>
      <w:b/>
      <w:bCs/>
      <w:kern w:val="44"/>
      <w:sz w:val="44"/>
      <w:szCs w:val="44"/>
    </w:rPr>
  </w:style>
  <w:style w:type="paragraph" w:styleId="21">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2">
    <w:name w:val="纯文本 Char"/>
    <w:basedOn w:val="12"/>
    <w:link w:val="6"/>
    <w:qFormat/>
    <w:uiPriority w:val="0"/>
    <w:rPr>
      <w:rFonts w:hint="default" w:ascii="Calibri" w:hAnsi="Courier New" w:eastAsia="宋体"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cf2b1465-ae45-4003-a02c-aac1ff72f462</errorID>
      <errorWord>/</errorWord>
      <group>L1_Word</group>
      <groupName>字词问题</groupName>
      <ability>L2_Typo</ability>
      <abilityName>字词错误</abilityName>
      <candidateList>
        <item>/个</item>
      </candidateList>
      <explain/>
      <paraID>217859FB</paraID>
      <start>3</start>
      <end>4</end>
      <status>unmodified</status>
      <modifiedWord/>
      <trackRevisions>false</trackRevisions>
    </reviewItem>
    <reviewItem>
      <errorID>cb5f3736-ff9c-4dc4-bcbf-f539004179b4</errorID>
      <errorWord>/</errorWord>
      <group>L1_Word</group>
      <groupName>字词问题</groupName>
      <ability>L2_Typo</ability>
      <abilityName>字词错误</abilityName>
      <candidateList>
        <item>/个</item>
      </candidateList>
      <explain/>
      <paraID>1D53AC9A</paraID>
      <start>3</start>
      <end>4</end>
      <status>unmodified</status>
      <modifiedWord/>
      <trackRevisions>false</trackRevisions>
    </reviewItem>
    <reviewItem>
      <errorID>0ab36db6-a252-4ba8-8522-bcf1dd2196d3</errorID>
      <errorWord>：</errorWord>
      <group>L1_Format</group>
      <groupName>格式问题</groupName>
      <ability>L2_HalfPunc_CN</ability>
      <abilityName>全半角问题</abilityName>
      <candidateList>
        <item>:</item>
      </candidateList>
      <explain>文本全半角错误。</explain>
      <paraID>674C7BD8</paraID>
      <start>5</start>
      <end>6</end>
      <status>unmodified</status>
      <modifiedWord/>
      <trackRevisions>false</trackRevisions>
    </reviewItem>
    <reviewItem>
      <errorID>19034ab2-9e62-4f85-80c4-c98bf3146816</errorID>
      <errorWord>(</errorWord>
      <group>L1_Format</group>
      <groupName>格式问题</groupName>
      <ability>L2_HalfPunc_CN</ability>
      <abilityName>全半角问题</abilityName>
      <candidateList>
        <item>（</item>
      </candidateList>
      <explain>文本全半角错误。</explain>
      <paraID>6BCB7284</paraID>
      <start>39</start>
      <end>40</end>
      <status>unmodified</status>
      <modifiedWord/>
      <trackRevisions>false</trackRevisions>
    </reviewItem>
    <reviewItem>
      <errorID>e0ac90c3-392d-4ea6-bfb9-7e1bde83c228</errorID>
      <errorWord>(</errorWord>
      <group>L1_Format</group>
      <groupName>格式问题</groupName>
      <ability>L2_HalfPunc_CN</ability>
      <abilityName>全半角问题</abilityName>
      <candidateList>
        <item>（</item>
      </candidateList>
      <explain>文本全半角错误。</explain>
      <paraID>3CABFBD4</paraID>
      <start>40</start>
      <end>41</end>
      <status>unmodified</status>
      <modifiedWord/>
      <trackRevisions>false</trackRevisions>
    </reviewItem>
    <reviewItem>
      <errorID>f9a6bb51-45e5-4d8c-8670-e7fc195433c8</errorID>
      <errorWord>)</errorWord>
      <group>L1_Format</group>
      <groupName>格式问题</groupName>
      <ability>L2_HalfPunc_CN</ability>
      <abilityName>全半角问题</abilityName>
      <candidateList>
        <item>）</item>
      </candidateList>
      <explain>文本全半角错误。</explain>
      <paraID>3CABFBD4</paraID>
      <start>46</start>
      <end>47</end>
      <status>unmodified</status>
      <modifiedWord/>
      <trackRevisions>false</trackRevisions>
    </reviewItem>
    <reviewItem>
      <errorID>ce470b4d-2fb9-4e8f-9b6e-5c4c44545ac4</errorID>
      <errorWord>(</errorWord>
      <group>L1_Format</group>
      <groupName>格式问题</groupName>
      <ability>L2_HalfPunc_CN</ability>
      <abilityName>全半角问题</abilityName>
      <candidateList>
        <item>（</item>
      </candidateList>
      <explain>文本全半角错误。</explain>
      <paraID>3CABFBD4</paraID>
      <start>58</start>
      <end>59</end>
      <status>unmodified</status>
      <modifiedWord/>
      <trackRevisions>false</trackRevisions>
    </reviewItem>
    <reviewItem>
      <errorID>57867855-9538-4a46-9933-953475c067a5</errorID>
      <errorWord>)</errorWord>
      <group>L1_Format</group>
      <groupName>格式问题</groupName>
      <ability>L2_HalfPunc_CN</ability>
      <abilityName>全半角问题</abilityName>
      <candidateList>
        <item>）</item>
      </candidateList>
      <explain>文本全半角错误。</explain>
      <paraID>3CABFBD4</paraID>
      <start>68</start>
      <end>69</end>
      <status>unmodified</status>
      <modifiedWord/>
      <trackRevisions>false</trackRevisions>
    </reviewItem>
    <reviewItem>
      <errorID>5e00c716-851e-4025-ba60-b97a71679f18</errorID>
      <errorWord>电话纪录</errorWord>
      <group>L1_Word</group>
      <groupName>字词问题</groupName>
      <ability>L2_Alias</ability>
      <abilityName>也作/曾用词</abilityName>
      <candidateList>
        <item>电话记录</item>
      </candidateList>
      <explain>词汇[电话纪录]为不规范表述或旧称，其规范书面表述为[电话记录]。</explain>
      <paraID>35FCC73F</paraID>
      <start>76</start>
      <end>80</end>
      <status>unmodified</status>
      <modifiedWord/>
      <trackRevisions>false</trackRevisions>
    </reviewItem>
    <reviewItem>
      <errorID>c39243b4-7a30-49b2-9e89-39fa2bf18cf6</errorID>
      <errorWord>、或</errorWord>
      <group>L1_Word</group>
      <groupName>字词问题</groupName>
      <ability>L2_Typo</ability>
      <abilityName>字词错误</abilityName>
      <candidateList>
        <item>或</item>
      </candidateList>
      <explain/>
      <paraID> 1074482</paraID>
      <start>13</start>
      <end>15</end>
      <status>unmodified</status>
      <modifiedWord/>
      <trackRevisions>false</trackRevisions>
    </reviewItem>
    <reviewItem>
      <errorID>6f601d3f-7abc-4afb-b31c-5e1ca2b4529c</errorID>
      <errorWord>法律、法规</errorWord>
      <group>L1_Word</group>
      <groupName>字词问题</groupName>
      <ability>L2_Typo</ability>
      <abilityName>字词错误</abilityName>
      <candidateList>
        <item>法律法规</item>
      </candidateList>
      <explain/>
      <paraID> 1074482</paraID>
      <start>44</start>
      <end>49</end>
      <status>unmodified</status>
      <modifiedWord/>
      <trackRevisions>false</trackRevisions>
    </reviewItem>
  </reviewItems>
  <config/>
</contractReview>
</file>

<file path=customXml/itemProps1.xml><?xml version="1.0" encoding="utf-8"?>
<ds:datastoreItem xmlns:ds="http://schemas.openxmlformats.org/officeDocument/2006/customXml" ds:itemID="{372597f9-c7e5-4fdd-b7ea-83dc9ed7449f}">
  <ds:schemaRefs/>
</ds:datastoreItem>
</file>

<file path=docProps/app.xml><?xml version="1.0" encoding="utf-8"?>
<Properties xmlns="http://schemas.openxmlformats.org/officeDocument/2006/extended-properties" xmlns:vt="http://schemas.openxmlformats.org/officeDocument/2006/docPropsVTypes">
  <Template>Normal</Template>
  <Company>acfmc</Company>
  <Pages>1</Pages>
  <Words>1412</Words>
  <Characters>1465</Characters>
  <Lines>14</Lines>
  <Paragraphs>4</Paragraphs>
  <TotalTime>243</TotalTime>
  <ScaleCrop>false</ScaleCrop>
  <LinksUpToDate>false</LinksUpToDate>
  <CharactersWithSpaces>1575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2016-12-02T06:35:00Z</dcterms:created>
  <dc:creator>admin</dc:creator>
  <cp:lastModifiedBy>z</cp:lastModifiedBy>
  <cp:lastPrinted>2026-08-24T06:25:00Z</cp:lastPrinted>
  <dcterms:modified xsi:type="dcterms:W3CDTF">2026-08-28T01:40:34Z</dcterms:modified>
  <dc:title>太平基金-基金业务授权委托书</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25B581EADA3B4C0FACD7FFC66C6C09FA_13</vt:lpwstr>
  </property>
  <property fmtid="{D5CDD505-2E9C-101B-9397-08002B2CF9AE}" pid="4" name="KSOTemplateDocerSaveRecord">
    <vt:lpwstr>eyJoZGlkIjoiYmQzNmM0ZTAzNGI3YzBkN2Q0ZWRjMWZiMGYxZjhhODIiLCJ1c2VySWQiOiIzNTIzMzM4NzAifQ==</vt:lpwstr>
  </property>
</Properties>
</file>